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7F4C3" w14:textId="13E61116" w:rsidR="00AD0AE3" w:rsidRDefault="00AD0AE3">
      <w:pPr>
        <w:rPr>
          <w:color w:val="1079B5"/>
          <w:sz w:val="36"/>
          <w:szCs w:val="48"/>
        </w:rPr>
      </w:pPr>
      <w:r w:rsidRPr="00AD0AE3">
        <w:rPr>
          <w:color w:val="1079B5"/>
          <w:sz w:val="36"/>
          <w:szCs w:val="48"/>
        </w:rPr>
        <w:t xml:space="preserve">Required Metadata for </w:t>
      </w:r>
      <w:r w:rsidR="00051A50">
        <w:rPr>
          <w:color w:val="1079B5"/>
          <w:sz w:val="36"/>
          <w:szCs w:val="48"/>
        </w:rPr>
        <w:t>D</w:t>
      </w:r>
      <w:r w:rsidRPr="00AD0AE3">
        <w:rPr>
          <w:color w:val="1079B5"/>
          <w:sz w:val="36"/>
          <w:szCs w:val="48"/>
        </w:rPr>
        <w:t xml:space="preserve">ata </w:t>
      </w:r>
      <w:r w:rsidR="00051A50">
        <w:rPr>
          <w:color w:val="1079B5"/>
          <w:sz w:val="36"/>
          <w:szCs w:val="48"/>
        </w:rPr>
        <w:t>S</w:t>
      </w:r>
      <w:bookmarkStart w:id="0" w:name="_GoBack"/>
      <w:bookmarkEnd w:id="0"/>
      <w:r w:rsidRPr="00AD0AE3">
        <w:rPr>
          <w:color w:val="1079B5"/>
          <w:sz w:val="36"/>
          <w:szCs w:val="48"/>
        </w:rPr>
        <w:t>ubmitted to AusSeabed</w:t>
      </w:r>
    </w:p>
    <w:p w14:paraId="3CE5C01F" w14:textId="77777777" w:rsidR="00AD0AE3" w:rsidRPr="00AD0AE3" w:rsidRDefault="00AD0AE3" w:rsidP="00AD0AE3">
      <w:pPr>
        <w:pStyle w:val="BodyText"/>
      </w:pPr>
    </w:p>
    <w:tbl>
      <w:tblPr>
        <w:tblStyle w:val="TableGAHeaderRow"/>
        <w:tblW w:w="9493" w:type="dxa"/>
        <w:tblInd w:w="47" w:type="dxa"/>
        <w:tblLayout w:type="fixed"/>
        <w:tblLook w:val="04A0" w:firstRow="1" w:lastRow="0" w:firstColumn="1" w:lastColumn="0" w:noHBand="0" w:noVBand="1"/>
      </w:tblPr>
      <w:tblGrid>
        <w:gridCol w:w="1129"/>
        <w:gridCol w:w="1418"/>
        <w:gridCol w:w="1134"/>
        <w:gridCol w:w="2693"/>
        <w:gridCol w:w="3119"/>
      </w:tblGrid>
      <w:tr w:rsidR="00AD0AE3" w:rsidRPr="00DA42E7" w14:paraId="674BD2B3" w14:textId="77777777" w:rsidTr="00AD0AE3">
        <w:trPr>
          <w:cnfStyle w:val="100000000000" w:firstRow="1" w:lastRow="0" w:firstColumn="0" w:lastColumn="0" w:oddVBand="0" w:evenVBand="0" w:oddHBand="0" w:evenHBand="0" w:firstRowFirstColumn="0" w:firstRowLastColumn="0" w:lastRowFirstColumn="0" w:lastRowLastColumn="0"/>
          <w:cantSplit w:val="0"/>
          <w:tblHeader/>
        </w:trPr>
        <w:tc>
          <w:tcPr>
            <w:tcW w:w="1129" w:type="dxa"/>
            <w:shd w:val="clear" w:color="auto" w:fill="006BA6"/>
          </w:tcPr>
          <w:p w14:paraId="55083296" w14:textId="77777777" w:rsidR="00AD0AE3" w:rsidRPr="00DA42E7" w:rsidRDefault="00AD0AE3" w:rsidP="00EA17AD">
            <w:pPr>
              <w:rPr>
                <w:color w:val="FFFFFF" w:themeColor="background1"/>
              </w:rPr>
            </w:pPr>
            <w:r w:rsidRPr="00DA42E7">
              <w:rPr>
                <w:color w:val="FFFFFF" w:themeColor="background1"/>
              </w:rPr>
              <w:t>Category</w:t>
            </w:r>
          </w:p>
        </w:tc>
        <w:tc>
          <w:tcPr>
            <w:tcW w:w="1418" w:type="dxa"/>
            <w:shd w:val="clear" w:color="auto" w:fill="006BA6"/>
          </w:tcPr>
          <w:p w14:paraId="36898FB7" w14:textId="77777777" w:rsidR="00AD0AE3" w:rsidRPr="00DA42E7" w:rsidRDefault="00AD0AE3" w:rsidP="00EA17AD">
            <w:pPr>
              <w:rPr>
                <w:color w:val="FFFFFF" w:themeColor="background1"/>
              </w:rPr>
            </w:pPr>
            <w:r w:rsidRPr="00DA42E7">
              <w:rPr>
                <w:color w:val="FFFFFF" w:themeColor="background1"/>
              </w:rPr>
              <w:t>Definition</w:t>
            </w:r>
          </w:p>
        </w:tc>
        <w:tc>
          <w:tcPr>
            <w:tcW w:w="1134" w:type="dxa"/>
            <w:shd w:val="clear" w:color="auto" w:fill="006BA6"/>
          </w:tcPr>
          <w:p w14:paraId="565B368C" w14:textId="77777777" w:rsidR="00AD0AE3" w:rsidRPr="00DA42E7" w:rsidRDefault="00AD0AE3" w:rsidP="00EA17AD">
            <w:pPr>
              <w:rPr>
                <w:color w:val="FFFFFF" w:themeColor="background1"/>
              </w:rPr>
            </w:pPr>
            <w:r w:rsidRPr="00DA42E7">
              <w:rPr>
                <w:color w:val="FFFFFF" w:themeColor="background1"/>
              </w:rPr>
              <w:t>Fields</w:t>
            </w:r>
          </w:p>
        </w:tc>
        <w:tc>
          <w:tcPr>
            <w:tcW w:w="2693" w:type="dxa"/>
            <w:shd w:val="clear" w:color="auto" w:fill="006BA6"/>
          </w:tcPr>
          <w:p w14:paraId="04487540" w14:textId="77777777" w:rsidR="00AD0AE3" w:rsidRPr="00DA42E7" w:rsidRDefault="00AD0AE3" w:rsidP="00EA17AD">
            <w:pPr>
              <w:rPr>
                <w:color w:val="FFFFFF" w:themeColor="background1"/>
              </w:rPr>
            </w:pPr>
            <w:r w:rsidRPr="00DA42E7">
              <w:rPr>
                <w:color w:val="FFFFFF" w:themeColor="background1"/>
              </w:rPr>
              <w:t>Specific Field Definitions</w:t>
            </w:r>
          </w:p>
        </w:tc>
        <w:tc>
          <w:tcPr>
            <w:tcW w:w="3119" w:type="dxa"/>
            <w:shd w:val="clear" w:color="auto" w:fill="006BA6"/>
          </w:tcPr>
          <w:p w14:paraId="6AC6CA4D" w14:textId="77777777" w:rsidR="00AD0AE3" w:rsidRPr="00DA42E7" w:rsidRDefault="00AD0AE3" w:rsidP="00EA17AD">
            <w:pPr>
              <w:rPr>
                <w:color w:val="FFFFFF" w:themeColor="background1"/>
              </w:rPr>
            </w:pPr>
            <w:r w:rsidRPr="00DA42E7">
              <w:rPr>
                <w:color w:val="FFFFFF" w:themeColor="background1"/>
              </w:rPr>
              <w:t>Example Data</w:t>
            </w:r>
          </w:p>
        </w:tc>
      </w:tr>
      <w:tr w:rsidR="00AD0AE3" w:rsidRPr="00DA42E7" w14:paraId="5259B708" w14:textId="77777777" w:rsidTr="00AD0AE3">
        <w:trPr>
          <w:cnfStyle w:val="000000100000" w:firstRow="0" w:lastRow="0" w:firstColumn="0" w:lastColumn="0" w:oddVBand="0" w:evenVBand="0" w:oddHBand="1" w:evenHBand="0" w:firstRowFirstColumn="0" w:firstRowLastColumn="0" w:lastRowFirstColumn="0" w:lastRowLastColumn="0"/>
        </w:trPr>
        <w:tc>
          <w:tcPr>
            <w:tcW w:w="1129" w:type="dxa"/>
            <w:vMerge w:val="restart"/>
          </w:tcPr>
          <w:p w14:paraId="62DEF810" w14:textId="77777777" w:rsidR="00AD0AE3" w:rsidRPr="00DA42E7" w:rsidRDefault="00AD0AE3" w:rsidP="00EA17AD">
            <w:pPr>
              <w:rPr>
                <w:color w:val="auto"/>
                <w:szCs w:val="18"/>
              </w:rPr>
            </w:pPr>
            <w:r w:rsidRPr="00DA42E7">
              <w:rPr>
                <w:color w:val="auto"/>
                <w:szCs w:val="18"/>
              </w:rPr>
              <w:t>General</w:t>
            </w:r>
          </w:p>
        </w:tc>
        <w:tc>
          <w:tcPr>
            <w:tcW w:w="1418" w:type="dxa"/>
            <w:vMerge w:val="restart"/>
          </w:tcPr>
          <w:p w14:paraId="1EDF7241" w14:textId="77777777" w:rsidR="00AD0AE3" w:rsidRPr="00DA42E7" w:rsidRDefault="00AD0AE3" w:rsidP="00EA17AD">
            <w:pPr>
              <w:rPr>
                <w:color w:val="auto"/>
                <w:szCs w:val="18"/>
              </w:rPr>
            </w:pPr>
            <w:r w:rsidRPr="00DA42E7">
              <w:rPr>
                <w:color w:val="auto"/>
                <w:szCs w:val="18"/>
              </w:rPr>
              <w:t xml:space="preserve">Basic information about the data package being submitted. </w:t>
            </w:r>
          </w:p>
        </w:tc>
        <w:tc>
          <w:tcPr>
            <w:tcW w:w="1134" w:type="dxa"/>
          </w:tcPr>
          <w:p w14:paraId="7D2EE56D" w14:textId="77777777" w:rsidR="00AD0AE3" w:rsidRPr="00DA42E7" w:rsidRDefault="00AD0AE3" w:rsidP="00EA17AD">
            <w:pPr>
              <w:rPr>
                <w:color w:val="auto"/>
                <w:szCs w:val="18"/>
              </w:rPr>
            </w:pPr>
            <w:r w:rsidRPr="00DA42E7">
              <w:rPr>
                <w:color w:val="auto"/>
                <w:szCs w:val="18"/>
              </w:rPr>
              <w:t>Survey title (full)</w:t>
            </w:r>
          </w:p>
        </w:tc>
        <w:tc>
          <w:tcPr>
            <w:tcW w:w="2693" w:type="dxa"/>
          </w:tcPr>
          <w:p w14:paraId="0B24812F" w14:textId="77777777" w:rsidR="00AD0AE3" w:rsidRPr="00DA42E7" w:rsidRDefault="00AD0AE3" w:rsidP="00EA17AD">
            <w:pPr>
              <w:rPr>
                <w:color w:val="auto"/>
                <w:szCs w:val="18"/>
              </w:rPr>
            </w:pPr>
            <w:r w:rsidRPr="00DA42E7">
              <w:rPr>
                <w:color w:val="auto"/>
                <w:szCs w:val="18"/>
              </w:rPr>
              <w:t>A short phrase or sentence describing the dataset. In many discovery systems, the title will be displayed in the results list from a search, and therefore should be human readable and reasonable to display in a list of such names.</w:t>
            </w:r>
          </w:p>
        </w:tc>
        <w:tc>
          <w:tcPr>
            <w:tcW w:w="3119" w:type="dxa"/>
          </w:tcPr>
          <w:p w14:paraId="127CA1D9" w14:textId="77777777" w:rsidR="00AD0AE3" w:rsidRPr="00DA42E7" w:rsidRDefault="00AD0AE3" w:rsidP="00EA17AD">
            <w:pPr>
              <w:rPr>
                <w:bCs/>
                <w:i/>
                <w:iCs/>
                <w:color w:val="auto"/>
                <w:szCs w:val="18"/>
              </w:rPr>
            </w:pPr>
            <w:r w:rsidRPr="00DA42E7">
              <w:rPr>
                <w:bCs/>
                <w:i/>
                <w:iCs/>
                <w:color w:val="auto"/>
                <w:szCs w:val="18"/>
              </w:rPr>
              <w:t>MH370 Phase 1 150m Bathymetry datasets</w:t>
            </w:r>
          </w:p>
        </w:tc>
      </w:tr>
      <w:tr w:rsidR="00AD0AE3" w:rsidRPr="00DA42E7" w14:paraId="3D177A46" w14:textId="77777777" w:rsidTr="00AD0AE3">
        <w:trPr>
          <w:cnfStyle w:val="000000010000" w:firstRow="0" w:lastRow="0" w:firstColumn="0" w:lastColumn="0" w:oddVBand="0" w:evenVBand="0" w:oddHBand="0" w:evenHBand="1" w:firstRowFirstColumn="0" w:firstRowLastColumn="0" w:lastRowFirstColumn="0" w:lastRowLastColumn="0"/>
        </w:trPr>
        <w:tc>
          <w:tcPr>
            <w:tcW w:w="1129" w:type="dxa"/>
            <w:vMerge/>
          </w:tcPr>
          <w:p w14:paraId="56CF8665" w14:textId="77777777" w:rsidR="00AD0AE3" w:rsidRPr="00DA42E7" w:rsidRDefault="00AD0AE3" w:rsidP="00EA17AD">
            <w:pPr>
              <w:rPr>
                <w:color w:val="auto"/>
                <w:szCs w:val="18"/>
              </w:rPr>
            </w:pPr>
          </w:p>
        </w:tc>
        <w:tc>
          <w:tcPr>
            <w:tcW w:w="1418" w:type="dxa"/>
            <w:vMerge/>
          </w:tcPr>
          <w:p w14:paraId="7263BE62" w14:textId="77777777" w:rsidR="00AD0AE3" w:rsidRPr="00DA42E7" w:rsidRDefault="00AD0AE3" w:rsidP="00EA17AD">
            <w:pPr>
              <w:rPr>
                <w:color w:val="auto"/>
                <w:szCs w:val="18"/>
              </w:rPr>
            </w:pPr>
          </w:p>
        </w:tc>
        <w:tc>
          <w:tcPr>
            <w:tcW w:w="1134" w:type="dxa"/>
          </w:tcPr>
          <w:p w14:paraId="778BB2CE" w14:textId="77777777" w:rsidR="00AD0AE3" w:rsidRPr="00DA42E7" w:rsidRDefault="00AD0AE3" w:rsidP="00EA17AD">
            <w:pPr>
              <w:rPr>
                <w:color w:val="auto"/>
                <w:szCs w:val="18"/>
              </w:rPr>
            </w:pPr>
            <w:r w:rsidRPr="00DA42E7">
              <w:rPr>
                <w:color w:val="auto"/>
                <w:szCs w:val="18"/>
              </w:rPr>
              <w:t>Survey ID</w:t>
            </w:r>
          </w:p>
        </w:tc>
        <w:tc>
          <w:tcPr>
            <w:tcW w:w="2693" w:type="dxa"/>
          </w:tcPr>
          <w:p w14:paraId="455776C1" w14:textId="77777777" w:rsidR="00AD0AE3" w:rsidRPr="00DA42E7" w:rsidRDefault="00AD0AE3" w:rsidP="00EA17AD">
            <w:pPr>
              <w:rPr>
                <w:color w:val="auto"/>
                <w:szCs w:val="18"/>
              </w:rPr>
            </w:pPr>
            <w:r w:rsidRPr="00DA42E7">
              <w:rPr>
                <w:color w:val="auto"/>
                <w:szCs w:val="18"/>
              </w:rPr>
              <w:t xml:space="preserve">The ID assigned to the survey, relevant especially when an ID may be how the survey is more widely referenced. </w:t>
            </w:r>
          </w:p>
        </w:tc>
        <w:tc>
          <w:tcPr>
            <w:tcW w:w="3119" w:type="dxa"/>
          </w:tcPr>
          <w:p w14:paraId="4773B5EF" w14:textId="77777777" w:rsidR="00AD0AE3" w:rsidRPr="00DA42E7" w:rsidRDefault="00AD0AE3" w:rsidP="00EA17AD">
            <w:pPr>
              <w:rPr>
                <w:i/>
                <w:iCs/>
                <w:color w:val="auto"/>
                <w:szCs w:val="18"/>
              </w:rPr>
            </w:pPr>
            <w:r w:rsidRPr="00DA42E7">
              <w:rPr>
                <w:i/>
                <w:iCs/>
                <w:color w:val="auto"/>
                <w:szCs w:val="18"/>
              </w:rPr>
              <w:t>GA-4421, GA-4422, GA-4430</w:t>
            </w:r>
          </w:p>
        </w:tc>
      </w:tr>
      <w:tr w:rsidR="00AD0AE3" w:rsidRPr="000F3D42" w14:paraId="52B709F7" w14:textId="77777777" w:rsidTr="00AD0AE3">
        <w:trPr>
          <w:cnfStyle w:val="000000100000" w:firstRow="0" w:lastRow="0" w:firstColumn="0" w:lastColumn="0" w:oddVBand="0" w:evenVBand="0" w:oddHBand="1" w:evenHBand="0" w:firstRowFirstColumn="0" w:firstRowLastColumn="0" w:lastRowFirstColumn="0" w:lastRowLastColumn="0"/>
        </w:trPr>
        <w:tc>
          <w:tcPr>
            <w:tcW w:w="1129" w:type="dxa"/>
            <w:vMerge/>
          </w:tcPr>
          <w:p w14:paraId="48BAB136" w14:textId="77777777" w:rsidR="00AD0AE3" w:rsidRPr="00DA42E7" w:rsidRDefault="00AD0AE3" w:rsidP="00EA17AD">
            <w:pPr>
              <w:rPr>
                <w:color w:val="auto"/>
                <w:szCs w:val="18"/>
              </w:rPr>
            </w:pPr>
          </w:p>
        </w:tc>
        <w:tc>
          <w:tcPr>
            <w:tcW w:w="1418" w:type="dxa"/>
            <w:vMerge/>
          </w:tcPr>
          <w:p w14:paraId="3D2D4008" w14:textId="77777777" w:rsidR="00AD0AE3" w:rsidRPr="00DA42E7" w:rsidRDefault="00AD0AE3" w:rsidP="00EA17AD">
            <w:pPr>
              <w:rPr>
                <w:color w:val="auto"/>
                <w:szCs w:val="18"/>
              </w:rPr>
            </w:pPr>
          </w:p>
        </w:tc>
        <w:tc>
          <w:tcPr>
            <w:tcW w:w="1134" w:type="dxa"/>
          </w:tcPr>
          <w:p w14:paraId="0BFE3D77" w14:textId="77777777" w:rsidR="00AD0AE3" w:rsidRPr="00DA42E7" w:rsidRDefault="00AD0AE3" w:rsidP="00EA17AD">
            <w:pPr>
              <w:rPr>
                <w:color w:val="auto"/>
                <w:szCs w:val="18"/>
              </w:rPr>
            </w:pPr>
            <w:r w:rsidRPr="00DA42E7">
              <w:rPr>
                <w:color w:val="auto"/>
                <w:szCs w:val="18"/>
              </w:rPr>
              <w:t>Abstract</w:t>
            </w:r>
          </w:p>
        </w:tc>
        <w:tc>
          <w:tcPr>
            <w:tcW w:w="2693" w:type="dxa"/>
          </w:tcPr>
          <w:p w14:paraId="3388A771" w14:textId="77777777" w:rsidR="00AD0AE3" w:rsidRPr="00DA42E7" w:rsidRDefault="00AD0AE3" w:rsidP="00EA17AD">
            <w:pPr>
              <w:rPr>
                <w:color w:val="auto"/>
                <w:szCs w:val="18"/>
              </w:rPr>
            </w:pPr>
            <w:r w:rsidRPr="00DA42E7">
              <w:rPr>
                <w:color w:val="auto"/>
                <w:szCs w:val="18"/>
              </w:rPr>
              <w:t>A paragraph describing the dataset, analogous to an abstract for a paper.</w:t>
            </w:r>
          </w:p>
        </w:tc>
        <w:tc>
          <w:tcPr>
            <w:tcW w:w="3119" w:type="dxa"/>
          </w:tcPr>
          <w:p w14:paraId="1C8C7025" w14:textId="77777777" w:rsidR="00AD0AE3" w:rsidRPr="000F3D42" w:rsidRDefault="00AD0AE3" w:rsidP="00EA17AD">
            <w:pPr>
              <w:rPr>
                <w:iCs/>
                <w:color w:val="auto"/>
                <w:szCs w:val="18"/>
              </w:rPr>
            </w:pPr>
            <w:r>
              <w:rPr>
                <w:i/>
                <w:iCs/>
                <w:color w:val="auto"/>
                <w:szCs w:val="18"/>
              </w:rPr>
              <w:t>“</w:t>
            </w:r>
            <w:r w:rsidRPr="00DA42E7">
              <w:rPr>
                <w:i/>
                <w:iCs/>
                <w:color w:val="auto"/>
                <w:szCs w:val="18"/>
              </w:rPr>
              <w:t>On behalf of Australia, the Australian Transport Safety Bureau (ATSB) is leading search operations for missing Malaysian airlines flight MH370 in the Southern Indian Ocean. Geoscience Australia provided advice, expertise and support to the ATSB to facilitate bathymetric surveys</w:t>
            </w:r>
            <w:r>
              <w:rPr>
                <w:i/>
                <w:iCs/>
                <w:color w:val="auto"/>
                <w:szCs w:val="18"/>
              </w:rPr>
              <w:t xml:space="preserve"> … </w:t>
            </w:r>
            <w:r>
              <w:rPr>
                <w:iCs/>
                <w:color w:val="auto"/>
                <w:szCs w:val="18"/>
              </w:rPr>
              <w:t xml:space="preserve">[for full abstract visit </w:t>
            </w:r>
            <w:hyperlink r:id="rId8" w:history="1">
              <w:r w:rsidRPr="000F3D42">
                <w:rPr>
                  <w:rStyle w:val="Hyperlink"/>
                  <w:szCs w:val="18"/>
                </w:rPr>
                <w:t>http://pid.geoscience.gov.au/dataset/100315</w:t>
              </w:r>
            </w:hyperlink>
            <w:r w:rsidRPr="000F3D42">
              <w:rPr>
                <w:color w:val="auto"/>
                <w:szCs w:val="18"/>
              </w:rPr>
              <w:t>]</w:t>
            </w:r>
          </w:p>
        </w:tc>
      </w:tr>
      <w:tr w:rsidR="00AD0AE3" w:rsidRPr="00DA42E7" w14:paraId="18520504" w14:textId="77777777" w:rsidTr="00AD0AE3">
        <w:trPr>
          <w:cnfStyle w:val="000000010000" w:firstRow="0" w:lastRow="0" w:firstColumn="0" w:lastColumn="0" w:oddVBand="0" w:evenVBand="0" w:oddHBand="0" w:evenHBand="1" w:firstRowFirstColumn="0" w:firstRowLastColumn="0" w:lastRowFirstColumn="0" w:lastRowLastColumn="0"/>
        </w:trPr>
        <w:tc>
          <w:tcPr>
            <w:tcW w:w="1129" w:type="dxa"/>
            <w:vMerge/>
          </w:tcPr>
          <w:p w14:paraId="5306305B" w14:textId="77777777" w:rsidR="00AD0AE3" w:rsidRPr="00DA42E7" w:rsidRDefault="00AD0AE3" w:rsidP="00EA17AD">
            <w:pPr>
              <w:rPr>
                <w:color w:val="auto"/>
                <w:szCs w:val="18"/>
              </w:rPr>
            </w:pPr>
          </w:p>
        </w:tc>
        <w:tc>
          <w:tcPr>
            <w:tcW w:w="1418" w:type="dxa"/>
            <w:vMerge/>
          </w:tcPr>
          <w:p w14:paraId="2F79F4EB" w14:textId="77777777" w:rsidR="00AD0AE3" w:rsidRPr="00DA42E7" w:rsidRDefault="00AD0AE3" w:rsidP="00EA17AD">
            <w:pPr>
              <w:rPr>
                <w:color w:val="auto"/>
                <w:szCs w:val="18"/>
              </w:rPr>
            </w:pPr>
          </w:p>
        </w:tc>
        <w:tc>
          <w:tcPr>
            <w:tcW w:w="1134" w:type="dxa"/>
          </w:tcPr>
          <w:p w14:paraId="74B59763" w14:textId="77777777" w:rsidR="00AD0AE3" w:rsidRPr="00DA42E7" w:rsidRDefault="00AD0AE3" w:rsidP="00EA17AD">
            <w:pPr>
              <w:rPr>
                <w:color w:val="auto"/>
                <w:szCs w:val="18"/>
              </w:rPr>
            </w:pPr>
            <w:r w:rsidRPr="00DA42E7">
              <w:rPr>
                <w:color w:val="auto"/>
                <w:szCs w:val="18"/>
              </w:rPr>
              <w:t>Lineage</w:t>
            </w:r>
          </w:p>
        </w:tc>
        <w:tc>
          <w:tcPr>
            <w:tcW w:w="2693" w:type="dxa"/>
          </w:tcPr>
          <w:p w14:paraId="757D9DC2" w14:textId="77777777" w:rsidR="00AD0AE3" w:rsidRPr="00DA42E7" w:rsidRDefault="00AD0AE3" w:rsidP="00EA17AD">
            <w:pPr>
              <w:rPr>
                <w:color w:val="auto"/>
                <w:szCs w:val="18"/>
              </w:rPr>
            </w:pPr>
            <w:r w:rsidRPr="00DA42E7">
              <w:rPr>
                <w:color w:val="auto"/>
                <w:szCs w:val="18"/>
              </w:rPr>
              <w:t>Information about the events or source data used in constructing the data specified by the scope or lack of knowledge about lineage.</w:t>
            </w:r>
          </w:p>
          <w:p w14:paraId="6F1A11C9" w14:textId="77777777" w:rsidR="00AD0AE3" w:rsidRPr="00DA42E7" w:rsidRDefault="00AD0AE3" w:rsidP="00EA17AD">
            <w:pPr>
              <w:rPr>
                <w:color w:val="auto"/>
                <w:szCs w:val="18"/>
              </w:rPr>
            </w:pPr>
          </w:p>
          <w:p w14:paraId="56294507" w14:textId="77777777" w:rsidR="00AD0AE3" w:rsidRPr="00DA42E7" w:rsidRDefault="00AD0AE3" w:rsidP="00EA17AD">
            <w:pPr>
              <w:rPr>
                <w:color w:val="auto"/>
                <w:szCs w:val="18"/>
              </w:rPr>
            </w:pPr>
            <w:r>
              <w:rPr>
                <w:color w:val="auto"/>
                <w:szCs w:val="18"/>
              </w:rPr>
              <w:t>Lineage can be</w:t>
            </w:r>
            <w:r w:rsidRPr="00DA42E7">
              <w:rPr>
                <w:color w:val="auto"/>
                <w:szCs w:val="18"/>
              </w:rPr>
              <w:t xml:space="preserve"> complex </w:t>
            </w:r>
            <w:r>
              <w:rPr>
                <w:color w:val="auto"/>
                <w:szCs w:val="18"/>
              </w:rPr>
              <w:t>to record, so</w:t>
            </w:r>
            <w:r w:rsidRPr="00DA42E7">
              <w:rPr>
                <w:color w:val="auto"/>
                <w:szCs w:val="18"/>
              </w:rPr>
              <w:t xml:space="preserve"> can be actively linked within a metadata record either to a file within the dataset being submitted or to a hosted location where the lineage statement may be found. If neither of these options are preferred, a full narrative may also be provided. </w:t>
            </w:r>
          </w:p>
        </w:tc>
        <w:tc>
          <w:tcPr>
            <w:tcW w:w="3119" w:type="dxa"/>
          </w:tcPr>
          <w:p w14:paraId="084A04DF" w14:textId="77777777" w:rsidR="00AD0AE3" w:rsidRPr="00DA42E7" w:rsidRDefault="00AD0AE3" w:rsidP="00EA17AD">
            <w:pPr>
              <w:rPr>
                <w:i/>
                <w:color w:val="auto"/>
                <w:szCs w:val="18"/>
              </w:rPr>
            </w:pPr>
            <w:r w:rsidRPr="00DA42E7">
              <w:rPr>
                <w:i/>
                <w:color w:val="auto"/>
                <w:szCs w:val="18"/>
              </w:rPr>
              <w:t>“</w:t>
            </w:r>
            <w:hyperlink r:id="rId9" w:history="1">
              <w:r w:rsidRPr="00DA42E7">
                <w:rPr>
                  <w:rStyle w:val="Hyperlink"/>
                  <w:i/>
                  <w:color w:val="auto"/>
                  <w:szCs w:val="18"/>
                </w:rPr>
                <w:t>link-to-lineage-statement</w:t>
              </w:r>
            </w:hyperlink>
            <w:r w:rsidRPr="00DA42E7">
              <w:rPr>
                <w:i/>
                <w:color w:val="auto"/>
                <w:szCs w:val="18"/>
                <w:u w:val="single"/>
              </w:rPr>
              <w:t>”</w:t>
            </w:r>
            <w:r>
              <w:rPr>
                <w:i/>
                <w:color w:val="auto"/>
                <w:szCs w:val="18"/>
                <w:u w:val="single"/>
              </w:rPr>
              <w:t xml:space="preserve"> </w:t>
            </w:r>
            <w:r w:rsidRPr="00DA42E7">
              <w:rPr>
                <w:i/>
                <w:color w:val="auto"/>
                <w:szCs w:val="18"/>
              </w:rPr>
              <w:t>OR</w:t>
            </w:r>
          </w:p>
          <w:p w14:paraId="1AA9A4FF" w14:textId="77777777" w:rsidR="00AD0AE3" w:rsidRPr="00DA42E7" w:rsidRDefault="00AD0AE3" w:rsidP="00EA17AD">
            <w:pPr>
              <w:rPr>
                <w:i/>
                <w:color w:val="auto"/>
                <w:szCs w:val="18"/>
              </w:rPr>
            </w:pPr>
            <w:r w:rsidRPr="00DA42E7">
              <w:rPr>
                <w:i/>
                <w:color w:val="auto"/>
                <w:szCs w:val="18"/>
              </w:rPr>
              <w:t xml:space="preserve">Full text: </w:t>
            </w:r>
          </w:p>
          <w:p w14:paraId="792B9723" w14:textId="77777777" w:rsidR="00AD0AE3" w:rsidRPr="00DA42E7" w:rsidRDefault="00AD0AE3" w:rsidP="00EA17AD">
            <w:pPr>
              <w:rPr>
                <w:i/>
                <w:color w:val="auto"/>
                <w:szCs w:val="18"/>
              </w:rPr>
            </w:pPr>
            <w:r w:rsidRPr="00DA42E7">
              <w:rPr>
                <w:i/>
                <w:color w:val="auto"/>
                <w:szCs w:val="18"/>
              </w:rPr>
              <w:t>“The MH370 Search bathymetry Surveys, GA-4421 GP1483 was acquired by the Australian Government through ATSB/GA onboard the MV Fugro Equator from the 05th of June to the 30th of July 2016, GA-4422 through the Chinese Navy Vessel Zhu Kezhen 872 from the 3rd june to 31 August 2014 and from the 5th January to the 30 April 2015 for the MV Fugro Supporter………”</w:t>
            </w:r>
          </w:p>
        </w:tc>
      </w:tr>
      <w:tr w:rsidR="00AD0AE3" w:rsidRPr="00DA42E7" w14:paraId="5860151A" w14:textId="77777777" w:rsidTr="00AD0AE3">
        <w:trPr>
          <w:cnfStyle w:val="000000100000" w:firstRow="0" w:lastRow="0" w:firstColumn="0" w:lastColumn="0" w:oddVBand="0" w:evenVBand="0" w:oddHBand="1" w:evenHBand="0" w:firstRowFirstColumn="0" w:firstRowLastColumn="0" w:lastRowFirstColumn="0" w:lastRowLastColumn="0"/>
        </w:trPr>
        <w:tc>
          <w:tcPr>
            <w:tcW w:w="1129" w:type="dxa"/>
            <w:vMerge w:val="restart"/>
          </w:tcPr>
          <w:p w14:paraId="1D972221" w14:textId="77777777" w:rsidR="00AD0AE3" w:rsidRPr="00DA42E7" w:rsidRDefault="00AD0AE3" w:rsidP="00EA17AD">
            <w:pPr>
              <w:rPr>
                <w:color w:val="auto"/>
                <w:szCs w:val="18"/>
              </w:rPr>
            </w:pPr>
            <w:r w:rsidRPr="00DA42E7">
              <w:rPr>
                <w:color w:val="auto"/>
                <w:szCs w:val="18"/>
              </w:rPr>
              <w:t>Contact for the Data</w:t>
            </w:r>
          </w:p>
        </w:tc>
        <w:tc>
          <w:tcPr>
            <w:tcW w:w="1418" w:type="dxa"/>
            <w:vMerge w:val="restart"/>
          </w:tcPr>
          <w:p w14:paraId="4A04FDE4" w14:textId="77777777" w:rsidR="00AD0AE3" w:rsidRPr="00DA42E7" w:rsidRDefault="00AD0AE3" w:rsidP="00EA17AD">
            <w:pPr>
              <w:rPr>
                <w:color w:val="auto"/>
                <w:szCs w:val="18"/>
              </w:rPr>
            </w:pPr>
            <w:r w:rsidRPr="00DA42E7">
              <w:rPr>
                <w:color w:val="auto"/>
                <w:szCs w:val="18"/>
              </w:rPr>
              <w:t>Information that is related to contacts for the data</w:t>
            </w:r>
          </w:p>
        </w:tc>
        <w:tc>
          <w:tcPr>
            <w:tcW w:w="1134" w:type="dxa"/>
          </w:tcPr>
          <w:p w14:paraId="3C8CEC9E" w14:textId="77777777" w:rsidR="00AD0AE3" w:rsidRPr="00DA42E7" w:rsidRDefault="00AD0AE3" w:rsidP="00EA17AD">
            <w:pPr>
              <w:rPr>
                <w:color w:val="auto"/>
                <w:szCs w:val="18"/>
              </w:rPr>
            </w:pPr>
            <w:r w:rsidRPr="00DA42E7">
              <w:rPr>
                <w:color w:val="auto"/>
                <w:szCs w:val="18"/>
              </w:rPr>
              <w:t>Data Owner</w:t>
            </w:r>
          </w:p>
        </w:tc>
        <w:tc>
          <w:tcPr>
            <w:tcW w:w="2693" w:type="dxa"/>
          </w:tcPr>
          <w:p w14:paraId="055E4C9B" w14:textId="77777777" w:rsidR="00AD0AE3" w:rsidRPr="00DA42E7" w:rsidRDefault="00AD0AE3" w:rsidP="00EA17AD">
            <w:pPr>
              <w:rPr>
                <w:color w:val="auto"/>
                <w:szCs w:val="18"/>
              </w:rPr>
            </w:pPr>
            <w:r w:rsidRPr="00DA42E7">
              <w:rPr>
                <w:color w:val="auto"/>
                <w:szCs w:val="18"/>
              </w:rPr>
              <w:t>. The person and/or organisation that owns the submitted data for the purpose of empoweri</w:t>
            </w:r>
            <w:r>
              <w:rPr>
                <w:color w:val="auto"/>
                <w:szCs w:val="18"/>
              </w:rPr>
              <w:t>ng</w:t>
            </w:r>
            <w:r w:rsidRPr="00DA42E7">
              <w:rPr>
                <w:color w:val="auto"/>
                <w:szCs w:val="18"/>
              </w:rPr>
              <w:t xml:space="preserve"> AusSeabed to act as a custodian</w:t>
            </w:r>
          </w:p>
        </w:tc>
        <w:tc>
          <w:tcPr>
            <w:tcW w:w="3119" w:type="dxa"/>
          </w:tcPr>
          <w:p w14:paraId="0DAD9CAB" w14:textId="77777777" w:rsidR="00AD0AE3" w:rsidRPr="00DA42E7" w:rsidRDefault="00AD0AE3" w:rsidP="00EA17AD">
            <w:pPr>
              <w:rPr>
                <w:i/>
                <w:color w:val="auto"/>
                <w:szCs w:val="18"/>
              </w:rPr>
            </w:pPr>
            <w:r w:rsidRPr="00DA42E7">
              <w:rPr>
                <w:i/>
                <w:color w:val="auto"/>
                <w:szCs w:val="18"/>
              </w:rPr>
              <w:t>Commonwealth of Australia</w:t>
            </w:r>
          </w:p>
        </w:tc>
      </w:tr>
      <w:tr w:rsidR="00AD0AE3" w:rsidRPr="00DA42E7" w14:paraId="7F9FBA96" w14:textId="77777777" w:rsidTr="00AD0AE3">
        <w:trPr>
          <w:cnfStyle w:val="000000010000" w:firstRow="0" w:lastRow="0" w:firstColumn="0" w:lastColumn="0" w:oddVBand="0" w:evenVBand="0" w:oddHBand="0" w:evenHBand="1" w:firstRowFirstColumn="0" w:firstRowLastColumn="0" w:lastRowFirstColumn="0" w:lastRowLastColumn="0"/>
        </w:trPr>
        <w:tc>
          <w:tcPr>
            <w:tcW w:w="1129" w:type="dxa"/>
            <w:vMerge/>
          </w:tcPr>
          <w:p w14:paraId="79165D22" w14:textId="77777777" w:rsidR="00AD0AE3" w:rsidRPr="00DA42E7" w:rsidRDefault="00AD0AE3" w:rsidP="00EA17AD">
            <w:pPr>
              <w:rPr>
                <w:color w:val="auto"/>
                <w:szCs w:val="18"/>
              </w:rPr>
            </w:pPr>
          </w:p>
        </w:tc>
        <w:tc>
          <w:tcPr>
            <w:tcW w:w="1418" w:type="dxa"/>
            <w:vMerge/>
          </w:tcPr>
          <w:p w14:paraId="69FFE79F" w14:textId="77777777" w:rsidR="00AD0AE3" w:rsidRPr="00DA42E7" w:rsidRDefault="00AD0AE3" w:rsidP="00EA17AD">
            <w:pPr>
              <w:rPr>
                <w:color w:val="auto"/>
                <w:szCs w:val="18"/>
              </w:rPr>
            </w:pPr>
          </w:p>
        </w:tc>
        <w:tc>
          <w:tcPr>
            <w:tcW w:w="1134" w:type="dxa"/>
          </w:tcPr>
          <w:p w14:paraId="1965ABC9" w14:textId="77777777" w:rsidR="00AD0AE3" w:rsidRPr="00DA42E7" w:rsidRDefault="00AD0AE3" w:rsidP="00EA17AD">
            <w:pPr>
              <w:rPr>
                <w:color w:val="auto"/>
                <w:szCs w:val="18"/>
              </w:rPr>
            </w:pPr>
            <w:r w:rsidRPr="00DA42E7">
              <w:rPr>
                <w:color w:val="auto"/>
                <w:szCs w:val="18"/>
              </w:rPr>
              <w:t>Custodian</w:t>
            </w:r>
          </w:p>
        </w:tc>
        <w:tc>
          <w:tcPr>
            <w:tcW w:w="2693" w:type="dxa"/>
          </w:tcPr>
          <w:p w14:paraId="6C7BFC82" w14:textId="77777777" w:rsidR="00AD0AE3" w:rsidRPr="00DA42E7" w:rsidRDefault="00AD0AE3" w:rsidP="00EA17AD">
            <w:pPr>
              <w:rPr>
                <w:color w:val="auto"/>
                <w:szCs w:val="18"/>
              </w:rPr>
            </w:pPr>
            <w:r w:rsidRPr="00DA42E7">
              <w:rPr>
                <w:color w:val="auto"/>
                <w:szCs w:val="18"/>
              </w:rPr>
              <w:t>The person and/or organisation that accepts, archives and disseminates the data</w:t>
            </w:r>
          </w:p>
        </w:tc>
        <w:tc>
          <w:tcPr>
            <w:tcW w:w="3119" w:type="dxa"/>
          </w:tcPr>
          <w:p w14:paraId="6B92F3CC" w14:textId="77777777" w:rsidR="00AD0AE3" w:rsidRPr="00DA42E7" w:rsidRDefault="00AD0AE3" w:rsidP="00EA17AD">
            <w:pPr>
              <w:rPr>
                <w:i/>
                <w:color w:val="auto"/>
                <w:szCs w:val="18"/>
              </w:rPr>
            </w:pPr>
            <w:r w:rsidRPr="00DA42E7">
              <w:rPr>
                <w:i/>
                <w:color w:val="auto"/>
                <w:szCs w:val="18"/>
              </w:rPr>
              <w:t>Commonwealth of Australia</w:t>
            </w:r>
          </w:p>
        </w:tc>
      </w:tr>
      <w:tr w:rsidR="00AD0AE3" w:rsidRPr="00DA42E7" w14:paraId="037C80D8" w14:textId="77777777" w:rsidTr="00AD0AE3">
        <w:trPr>
          <w:cnfStyle w:val="000000100000" w:firstRow="0" w:lastRow="0" w:firstColumn="0" w:lastColumn="0" w:oddVBand="0" w:evenVBand="0" w:oddHBand="1" w:evenHBand="0" w:firstRowFirstColumn="0" w:firstRowLastColumn="0" w:lastRowFirstColumn="0" w:lastRowLastColumn="0"/>
        </w:trPr>
        <w:tc>
          <w:tcPr>
            <w:tcW w:w="1129" w:type="dxa"/>
            <w:vMerge/>
          </w:tcPr>
          <w:p w14:paraId="2DC618D6" w14:textId="77777777" w:rsidR="00AD0AE3" w:rsidRPr="00DA42E7" w:rsidRDefault="00AD0AE3" w:rsidP="00EA17AD">
            <w:pPr>
              <w:rPr>
                <w:color w:val="auto"/>
                <w:szCs w:val="18"/>
              </w:rPr>
            </w:pPr>
          </w:p>
        </w:tc>
        <w:tc>
          <w:tcPr>
            <w:tcW w:w="1418" w:type="dxa"/>
            <w:vMerge/>
          </w:tcPr>
          <w:p w14:paraId="23B38576" w14:textId="77777777" w:rsidR="00AD0AE3" w:rsidRPr="00DA42E7" w:rsidRDefault="00AD0AE3" w:rsidP="00EA17AD">
            <w:pPr>
              <w:rPr>
                <w:color w:val="auto"/>
                <w:szCs w:val="18"/>
              </w:rPr>
            </w:pPr>
          </w:p>
        </w:tc>
        <w:tc>
          <w:tcPr>
            <w:tcW w:w="1134" w:type="dxa"/>
          </w:tcPr>
          <w:p w14:paraId="3913D0CA" w14:textId="77777777" w:rsidR="00AD0AE3" w:rsidRPr="00DA42E7" w:rsidRDefault="00AD0AE3" w:rsidP="00EA17AD">
            <w:pPr>
              <w:rPr>
                <w:color w:val="auto"/>
                <w:szCs w:val="18"/>
              </w:rPr>
            </w:pPr>
            <w:r w:rsidRPr="00DA42E7">
              <w:rPr>
                <w:color w:val="auto"/>
                <w:szCs w:val="18"/>
              </w:rPr>
              <w:t>Point of Contact</w:t>
            </w:r>
          </w:p>
        </w:tc>
        <w:tc>
          <w:tcPr>
            <w:tcW w:w="2693" w:type="dxa"/>
          </w:tcPr>
          <w:p w14:paraId="483DB5D1" w14:textId="77777777" w:rsidR="00AD0AE3" w:rsidRPr="00DA42E7" w:rsidRDefault="00AD0AE3" w:rsidP="00EA17AD">
            <w:pPr>
              <w:rPr>
                <w:color w:val="auto"/>
                <w:szCs w:val="18"/>
              </w:rPr>
            </w:pPr>
            <w:r w:rsidRPr="00DA42E7">
              <w:rPr>
                <w:color w:val="auto"/>
                <w:szCs w:val="18"/>
              </w:rPr>
              <w:t>The person and/or contact details for initiating contact regarding the data</w:t>
            </w:r>
          </w:p>
        </w:tc>
        <w:tc>
          <w:tcPr>
            <w:tcW w:w="3119" w:type="dxa"/>
          </w:tcPr>
          <w:p w14:paraId="0274E401" w14:textId="77777777" w:rsidR="00AD0AE3" w:rsidRPr="00DA42E7" w:rsidRDefault="00AD0AE3" w:rsidP="00EA17AD">
            <w:pPr>
              <w:rPr>
                <w:i/>
                <w:color w:val="auto"/>
                <w:szCs w:val="18"/>
              </w:rPr>
            </w:pPr>
            <w:r w:rsidRPr="00DA42E7">
              <w:rPr>
                <w:i/>
                <w:color w:val="auto"/>
                <w:szCs w:val="18"/>
              </w:rPr>
              <w:t>Commonwealth of Australia (Geoscience Australia)</w:t>
            </w:r>
          </w:p>
          <w:p w14:paraId="595B9C01" w14:textId="77777777" w:rsidR="00AD0AE3" w:rsidRPr="00DA42E7" w:rsidRDefault="00AD0AE3" w:rsidP="00EA17AD">
            <w:pPr>
              <w:rPr>
                <w:i/>
                <w:color w:val="auto"/>
                <w:szCs w:val="18"/>
              </w:rPr>
            </w:pPr>
            <w:r w:rsidRPr="00DA42E7">
              <w:rPr>
                <w:i/>
                <w:color w:val="auto"/>
                <w:szCs w:val="18"/>
              </w:rPr>
              <w:t>clientservices@ga.gov.au (Manager Client Services)</w:t>
            </w:r>
          </w:p>
          <w:p w14:paraId="2A7CC190" w14:textId="77777777" w:rsidR="00AD0AE3" w:rsidRPr="00DA42E7" w:rsidRDefault="00AD0AE3" w:rsidP="00EA17AD">
            <w:pPr>
              <w:rPr>
                <w:i/>
                <w:color w:val="auto"/>
                <w:szCs w:val="18"/>
              </w:rPr>
            </w:pPr>
            <w:r w:rsidRPr="00DA42E7">
              <w:rPr>
                <w:i/>
                <w:color w:val="auto"/>
                <w:szCs w:val="18"/>
              </w:rPr>
              <w:t>Cnr Jerrabomberra Ave and Hindmarsh Dr GPO Box 378, Canberra, ACT, 2601, Australia</w:t>
            </w:r>
          </w:p>
          <w:p w14:paraId="0F1A6AB6" w14:textId="77777777" w:rsidR="00AD0AE3" w:rsidRPr="00DA42E7" w:rsidRDefault="00AD0AE3" w:rsidP="00EA17AD">
            <w:pPr>
              <w:rPr>
                <w:i/>
                <w:color w:val="auto"/>
                <w:szCs w:val="18"/>
              </w:rPr>
            </w:pPr>
            <w:r w:rsidRPr="00DA42E7">
              <w:rPr>
                <w:i/>
                <w:color w:val="auto"/>
                <w:szCs w:val="18"/>
              </w:rPr>
              <w:t>Call 1800 800 173,02 6249 9960</w:t>
            </w:r>
          </w:p>
        </w:tc>
      </w:tr>
      <w:tr w:rsidR="00AD0AE3" w:rsidRPr="00DA42E7" w14:paraId="250B24E7" w14:textId="77777777" w:rsidTr="00AD0AE3">
        <w:trPr>
          <w:cnfStyle w:val="000000010000" w:firstRow="0" w:lastRow="0" w:firstColumn="0" w:lastColumn="0" w:oddVBand="0" w:evenVBand="0" w:oddHBand="0" w:evenHBand="1" w:firstRowFirstColumn="0" w:firstRowLastColumn="0" w:lastRowFirstColumn="0" w:lastRowLastColumn="0"/>
        </w:trPr>
        <w:tc>
          <w:tcPr>
            <w:tcW w:w="1129" w:type="dxa"/>
            <w:vMerge/>
          </w:tcPr>
          <w:p w14:paraId="5A677ED6" w14:textId="77777777" w:rsidR="00AD0AE3" w:rsidRPr="00DA42E7" w:rsidRDefault="00AD0AE3" w:rsidP="00EA17AD">
            <w:pPr>
              <w:rPr>
                <w:color w:val="auto"/>
                <w:szCs w:val="18"/>
              </w:rPr>
            </w:pPr>
          </w:p>
        </w:tc>
        <w:tc>
          <w:tcPr>
            <w:tcW w:w="1418" w:type="dxa"/>
            <w:vMerge/>
          </w:tcPr>
          <w:p w14:paraId="4F79C390" w14:textId="77777777" w:rsidR="00AD0AE3" w:rsidRPr="00DA42E7" w:rsidRDefault="00AD0AE3" w:rsidP="00EA17AD">
            <w:pPr>
              <w:rPr>
                <w:color w:val="auto"/>
                <w:szCs w:val="18"/>
              </w:rPr>
            </w:pPr>
          </w:p>
        </w:tc>
        <w:tc>
          <w:tcPr>
            <w:tcW w:w="1134" w:type="dxa"/>
          </w:tcPr>
          <w:p w14:paraId="0D5053C4" w14:textId="77777777" w:rsidR="00AD0AE3" w:rsidRPr="00DA42E7" w:rsidRDefault="00AD0AE3" w:rsidP="00EA17AD">
            <w:pPr>
              <w:rPr>
                <w:color w:val="auto"/>
                <w:szCs w:val="18"/>
              </w:rPr>
            </w:pPr>
            <w:r w:rsidRPr="00DA42E7">
              <w:rPr>
                <w:color w:val="auto"/>
                <w:szCs w:val="18"/>
              </w:rPr>
              <w:t>Collecting Entity</w:t>
            </w:r>
          </w:p>
        </w:tc>
        <w:tc>
          <w:tcPr>
            <w:tcW w:w="2693" w:type="dxa"/>
          </w:tcPr>
          <w:p w14:paraId="5DAA419F" w14:textId="77777777" w:rsidR="00AD0AE3" w:rsidRPr="00DA42E7" w:rsidRDefault="00AD0AE3" w:rsidP="00EA17AD">
            <w:pPr>
              <w:rPr>
                <w:color w:val="auto"/>
                <w:szCs w:val="18"/>
              </w:rPr>
            </w:pPr>
            <w:r w:rsidRPr="00DA42E7">
              <w:rPr>
                <w:color w:val="auto"/>
                <w:szCs w:val="18"/>
              </w:rPr>
              <w:t xml:space="preserve">The organisation that was responsible for collecting the data being described.  </w:t>
            </w:r>
          </w:p>
        </w:tc>
        <w:tc>
          <w:tcPr>
            <w:tcW w:w="3119" w:type="dxa"/>
          </w:tcPr>
          <w:p w14:paraId="67A44C2C" w14:textId="77777777" w:rsidR="00AD0AE3" w:rsidRPr="00DA42E7" w:rsidRDefault="00AD0AE3" w:rsidP="00EA17AD">
            <w:pPr>
              <w:rPr>
                <w:i/>
                <w:color w:val="auto"/>
                <w:szCs w:val="18"/>
              </w:rPr>
            </w:pPr>
            <w:r w:rsidRPr="00DA42E7">
              <w:rPr>
                <w:i/>
                <w:color w:val="auto"/>
                <w:szCs w:val="18"/>
              </w:rPr>
              <w:t>Australian Transport Safety Bureau (ATSB)</w:t>
            </w:r>
          </w:p>
        </w:tc>
      </w:tr>
      <w:tr w:rsidR="00AD0AE3" w:rsidRPr="00DA42E7" w14:paraId="2CBBE14C" w14:textId="77777777" w:rsidTr="00AD0AE3">
        <w:trPr>
          <w:cnfStyle w:val="000000100000" w:firstRow="0" w:lastRow="0" w:firstColumn="0" w:lastColumn="0" w:oddVBand="0" w:evenVBand="0" w:oddHBand="1" w:evenHBand="0" w:firstRowFirstColumn="0" w:firstRowLastColumn="0" w:lastRowFirstColumn="0" w:lastRowLastColumn="0"/>
        </w:trPr>
        <w:tc>
          <w:tcPr>
            <w:tcW w:w="1129" w:type="dxa"/>
            <w:vMerge w:val="restart"/>
          </w:tcPr>
          <w:p w14:paraId="3793817E" w14:textId="77777777" w:rsidR="00AD0AE3" w:rsidRPr="00DA42E7" w:rsidRDefault="00AD0AE3" w:rsidP="00EA17AD">
            <w:pPr>
              <w:rPr>
                <w:color w:val="auto"/>
                <w:szCs w:val="18"/>
              </w:rPr>
            </w:pPr>
            <w:r w:rsidRPr="00DA42E7">
              <w:rPr>
                <w:color w:val="auto"/>
                <w:szCs w:val="18"/>
              </w:rPr>
              <w:t>Citation</w:t>
            </w:r>
          </w:p>
        </w:tc>
        <w:tc>
          <w:tcPr>
            <w:tcW w:w="1418" w:type="dxa"/>
            <w:vMerge w:val="restart"/>
          </w:tcPr>
          <w:p w14:paraId="30DB94DE" w14:textId="77777777" w:rsidR="00AD0AE3" w:rsidRPr="00DA42E7" w:rsidRDefault="00AD0AE3" w:rsidP="00EA17AD">
            <w:pPr>
              <w:rPr>
                <w:color w:val="auto"/>
                <w:szCs w:val="18"/>
              </w:rPr>
            </w:pPr>
            <w:r w:rsidRPr="00DA42E7">
              <w:rPr>
                <w:color w:val="auto"/>
                <w:szCs w:val="18"/>
              </w:rPr>
              <w:t xml:space="preserve">Information that is collected to ensure appropriate credit is assigned for the data being provided, and ensuring the data’s intended use of the data is clear. </w:t>
            </w:r>
          </w:p>
        </w:tc>
        <w:tc>
          <w:tcPr>
            <w:tcW w:w="1134" w:type="dxa"/>
          </w:tcPr>
          <w:p w14:paraId="72EAD72C" w14:textId="77777777" w:rsidR="00AD0AE3" w:rsidRPr="00DA42E7" w:rsidRDefault="00AD0AE3" w:rsidP="00EA17AD">
            <w:pPr>
              <w:rPr>
                <w:color w:val="auto"/>
                <w:szCs w:val="18"/>
              </w:rPr>
            </w:pPr>
            <w:r w:rsidRPr="00DA42E7">
              <w:rPr>
                <w:color w:val="auto"/>
                <w:szCs w:val="18"/>
              </w:rPr>
              <w:t>Attribution Licence (citation)</w:t>
            </w:r>
          </w:p>
        </w:tc>
        <w:tc>
          <w:tcPr>
            <w:tcW w:w="2693" w:type="dxa"/>
          </w:tcPr>
          <w:p w14:paraId="364D9A9C" w14:textId="77777777" w:rsidR="00AD0AE3" w:rsidRPr="00DA42E7" w:rsidRDefault="00AD0AE3" w:rsidP="00EA17AD">
            <w:pPr>
              <w:rPr>
                <w:color w:val="auto"/>
                <w:szCs w:val="18"/>
              </w:rPr>
            </w:pPr>
            <w:r w:rsidRPr="00DA42E7">
              <w:rPr>
                <w:color w:val="auto"/>
                <w:szCs w:val="18"/>
              </w:rPr>
              <w:t xml:space="preserve">Statement of attribution that must be included whenever the data being provided is distributed/redistributed or used by another organisation. </w:t>
            </w:r>
          </w:p>
        </w:tc>
        <w:tc>
          <w:tcPr>
            <w:tcW w:w="3119" w:type="dxa"/>
          </w:tcPr>
          <w:p w14:paraId="5A31349A" w14:textId="77777777" w:rsidR="00AD0AE3" w:rsidRPr="00DA42E7" w:rsidRDefault="00AD0AE3" w:rsidP="00EA17AD">
            <w:pPr>
              <w:rPr>
                <w:i/>
                <w:color w:val="auto"/>
                <w:szCs w:val="18"/>
              </w:rPr>
            </w:pPr>
            <w:r w:rsidRPr="00DA42E7">
              <w:rPr>
                <w:i/>
                <w:color w:val="auto"/>
                <w:szCs w:val="18"/>
              </w:rPr>
              <w:t>2017. MH370 Phase 1 150m Bathymetry datasets (GA-4421,GA-4422 &amp; GA-4430). Geoscience Australia, Canberra. http://pid.geoscience.gov.au/dataset/100315</w:t>
            </w:r>
          </w:p>
        </w:tc>
      </w:tr>
      <w:tr w:rsidR="00AD0AE3" w:rsidRPr="00DA42E7" w14:paraId="1ECF10C3" w14:textId="77777777" w:rsidTr="00AD0AE3">
        <w:trPr>
          <w:cnfStyle w:val="000000010000" w:firstRow="0" w:lastRow="0" w:firstColumn="0" w:lastColumn="0" w:oddVBand="0" w:evenVBand="0" w:oddHBand="0" w:evenHBand="1" w:firstRowFirstColumn="0" w:firstRowLastColumn="0" w:lastRowFirstColumn="0" w:lastRowLastColumn="0"/>
        </w:trPr>
        <w:tc>
          <w:tcPr>
            <w:tcW w:w="1129" w:type="dxa"/>
            <w:vMerge/>
          </w:tcPr>
          <w:p w14:paraId="3EBEE2EC" w14:textId="77777777" w:rsidR="00AD0AE3" w:rsidRPr="00DA42E7" w:rsidRDefault="00AD0AE3" w:rsidP="00EA17AD">
            <w:pPr>
              <w:rPr>
                <w:color w:val="auto"/>
                <w:szCs w:val="18"/>
              </w:rPr>
            </w:pPr>
          </w:p>
        </w:tc>
        <w:tc>
          <w:tcPr>
            <w:tcW w:w="1418" w:type="dxa"/>
            <w:vMerge/>
          </w:tcPr>
          <w:p w14:paraId="3C14480F" w14:textId="77777777" w:rsidR="00AD0AE3" w:rsidRPr="00DA42E7" w:rsidRDefault="00AD0AE3" w:rsidP="00EA17AD">
            <w:pPr>
              <w:rPr>
                <w:color w:val="auto"/>
                <w:szCs w:val="18"/>
              </w:rPr>
            </w:pPr>
          </w:p>
        </w:tc>
        <w:tc>
          <w:tcPr>
            <w:tcW w:w="1134" w:type="dxa"/>
          </w:tcPr>
          <w:p w14:paraId="711D367F" w14:textId="77777777" w:rsidR="00AD0AE3" w:rsidRPr="00DA42E7" w:rsidRDefault="00AD0AE3" w:rsidP="00EA17AD">
            <w:pPr>
              <w:rPr>
                <w:color w:val="auto"/>
                <w:szCs w:val="18"/>
              </w:rPr>
            </w:pPr>
            <w:r w:rsidRPr="00DA42E7">
              <w:rPr>
                <w:color w:val="auto"/>
                <w:szCs w:val="18"/>
              </w:rPr>
              <w:t>Legal Constraints</w:t>
            </w:r>
          </w:p>
        </w:tc>
        <w:tc>
          <w:tcPr>
            <w:tcW w:w="2693" w:type="dxa"/>
          </w:tcPr>
          <w:p w14:paraId="08C0982E" w14:textId="77777777" w:rsidR="00AD0AE3" w:rsidRPr="00DA42E7" w:rsidRDefault="00AD0AE3" w:rsidP="00EA17AD">
            <w:pPr>
              <w:rPr>
                <w:color w:val="auto"/>
                <w:szCs w:val="18"/>
              </w:rPr>
            </w:pPr>
            <w:r w:rsidRPr="00DA42E7">
              <w:rPr>
                <w:color w:val="auto"/>
                <w:szCs w:val="18"/>
              </w:rPr>
              <w:t>Restrictions and legal prerequisites for accessing and using the resource or metadata</w:t>
            </w:r>
          </w:p>
        </w:tc>
        <w:tc>
          <w:tcPr>
            <w:tcW w:w="3119" w:type="dxa"/>
          </w:tcPr>
          <w:p w14:paraId="5F9AE1DE" w14:textId="77777777" w:rsidR="00AD0AE3" w:rsidRPr="00DA42E7" w:rsidRDefault="00AD0AE3" w:rsidP="00EA17AD">
            <w:pPr>
              <w:rPr>
                <w:i/>
                <w:color w:val="auto"/>
                <w:szCs w:val="18"/>
              </w:rPr>
            </w:pPr>
            <w:r w:rsidRPr="00DA42E7">
              <w:rPr>
                <w:i/>
                <w:color w:val="auto"/>
                <w:szCs w:val="18"/>
              </w:rPr>
              <w:t>Creative Commons Attribution 4.0 International Licence</w:t>
            </w:r>
          </w:p>
          <w:p w14:paraId="53D7F496" w14:textId="77777777" w:rsidR="00AD0AE3" w:rsidRPr="00DA42E7" w:rsidRDefault="00AD0AE3" w:rsidP="00EA17AD">
            <w:pPr>
              <w:rPr>
                <w:i/>
                <w:color w:val="auto"/>
                <w:szCs w:val="18"/>
              </w:rPr>
            </w:pPr>
            <w:r w:rsidRPr="00DA42E7">
              <w:rPr>
                <w:i/>
                <w:color w:val="auto"/>
                <w:szCs w:val="18"/>
              </w:rPr>
              <w:t>http://creativecommons.org/licenses/</w:t>
            </w:r>
          </w:p>
        </w:tc>
      </w:tr>
      <w:tr w:rsidR="00AD0AE3" w:rsidRPr="00DA42E7" w14:paraId="0B496634" w14:textId="77777777" w:rsidTr="00AD0AE3">
        <w:trPr>
          <w:cnfStyle w:val="000000100000" w:firstRow="0" w:lastRow="0" w:firstColumn="0" w:lastColumn="0" w:oddVBand="0" w:evenVBand="0" w:oddHBand="1" w:evenHBand="0" w:firstRowFirstColumn="0" w:firstRowLastColumn="0" w:lastRowFirstColumn="0" w:lastRowLastColumn="0"/>
        </w:trPr>
        <w:tc>
          <w:tcPr>
            <w:tcW w:w="1129" w:type="dxa"/>
            <w:vMerge/>
          </w:tcPr>
          <w:p w14:paraId="08C2BC65" w14:textId="77777777" w:rsidR="00AD0AE3" w:rsidRPr="00DA42E7" w:rsidRDefault="00AD0AE3" w:rsidP="00EA17AD">
            <w:pPr>
              <w:rPr>
                <w:color w:val="auto"/>
                <w:szCs w:val="18"/>
              </w:rPr>
            </w:pPr>
          </w:p>
        </w:tc>
        <w:tc>
          <w:tcPr>
            <w:tcW w:w="1418" w:type="dxa"/>
            <w:vMerge/>
          </w:tcPr>
          <w:p w14:paraId="31C220F8" w14:textId="77777777" w:rsidR="00AD0AE3" w:rsidRPr="00DA42E7" w:rsidRDefault="00AD0AE3" w:rsidP="00EA17AD">
            <w:pPr>
              <w:rPr>
                <w:color w:val="auto"/>
                <w:szCs w:val="18"/>
              </w:rPr>
            </w:pPr>
          </w:p>
        </w:tc>
        <w:tc>
          <w:tcPr>
            <w:tcW w:w="1134" w:type="dxa"/>
          </w:tcPr>
          <w:p w14:paraId="7F779F5C" w14:textId="77777777" w:rsidR="00AD0AE3" w:rsidRPr="00DA42E7" w:rsidRDefault="00AD0AE3" w:rsidP="00EA17AD">
            <w:pPr>
              <w:rPr>
                <w:color w:val="auto"/>
                <w:szCs w:val="18"/>
              </w:rPr>
            </w:pPr>
            <w:r w:rsidRPr="00DA42E7">
              <w:rPr>
                <w:color w:val="auto"/>
                <w:szCs w:val="18"/>
              </w:rPr>
              <w:t>Access Constraints</w:t>
            </w:r>
          </w:p>
        </w:tc>
        <w:tc>
          <w:tcPr>
            <w:tcW w:w="2693" w:type="dxa"/>
          </w:tcPr>
          <w:p w14:paraId="2B298163" w14:textId="77777777" w:rsidR="00AD0AE3" w:rsidRPr="00DA42E7" w:rsidRDefault="00AD0AE3" w:rsidP="00EA17AD">
            <w:pPr>
              <w:rPr>
                <w:color w:val="auto"/>
                <w:szCs w:val="18"/>
              </w:rPr>
            </w:pPr>
            <w:r w:rsidRPr="00DA42E7">
              <w:rPr>
                <w:color w:val="auto"/>
                <w:szCs w:val="18"/>
              </w:rPr>
              <w:t>Details of any constraints that are not determined under the licence constraints regarding the access to the information being provided. Access constraints are applied to assure the protection of privacy or intellectual property, and any</w:t>
            </w:r>
          </w:p>
          <w:p w14:paraId="72557B45" w14:textId="77777777" w:rsidR="00AD0AE3" w:rsidRPr="00DA42E7" w:rsidRDefault="00AD0AE3" w:rsidP="00EA17AD">
            <w:pPr>
              <w:rPr>
                <w:color w:val="auto"/>
                <w:szCs w:val="18"/>
              </w:rPr>
            </w:pPr>
            <w:r w:rsidRPr="00DA42E7">
              <w:rPr>
                <w:color w:val="auto"/>
                <w:szCs w:val="18"/>
              </w:rPr>
              <w:t>special restrictions or limitations on obtaining the resource or metadata</w:t>
            </w:r>
          </w:p>
        </w:tc>
        <w:tc>
          <w:tcPr>
            <w:tcW w:w="3119" w:type="dxa"/>
          </w:tcPr>
          <w:p w14:paraId="5466EAC5" w14:textId="77777777" w:rsidR="00AD0AE3" w:rsidRPr="00DA42E7" w:rsidRDefault="00AD0AE3" w:rsidP="00EA17AD">
            <w:pPr>
              <w:rPr>
                <w:i/>
                <w:color w:val="auto"/>
                <w:szCs w:val="18"/>
              </w:rPr>
            </w:pPr>
            <w:r w:rsidRPr="00DA42E7">
              <w:rPr>
                <w:i/>
                <w:color w:val="auto"/>
                <w:szCs w:val="18"/>
              </w:rPr>
              <w:t>As per licence</w:t>
            </w:r>
          </w:p>
        </w:tc>
      </w:tr>
      <w:tr w:rsidR="00AD0AE3" w:rsidRPr="00DA42E7" w14:paraId="255A154A" w14:textId="77777777" w:rsidTr="00AD0AE3">
        <w:trPr>
          <w:cnfStyle w:val="000000010000" w:firstRow="0" w:lastRow="0" w:firstColumn="0" w:lastColumn="0" w:oddVBand="0" w:evenVBand="0" w:oddHBand="0" w:evenHBand="1" w:firstRowFirstColumn="0" w:firstRowLastColumn="0" w:lastRowFirstColumn="0" w:lastRowLastColumn="0"/>
        </w:trPr>
        <w:tc>
          <w:tcPr>
            <w:tcW w:w="1129" w:type="dxa"/>
            <w:vMerge/>
          </w:tcPr>
          <w:p w14:paraId="19E29C2E" w14:textId="77777777" w:rsidR="00AD0AE3" w:rsidRPr="00DA42E7" w:rsidRDefault="00AD0AE3" w:rsidP="00EA17AD">
            <w:pPr>
              <w:rPr>
                <w:color w:val="auto"/>
                <w:szCs w:val="18"/>
              </w:rPr>
            </w:pPr>
          </w:p>
        </w:tc>
        <w:tc>
          <w:tcPr>
            <w:tcW w:w="1418" w:type="dxa"/>
            <w:vMerge/>
          </w:tcPr>
          <w:p w14:paraId="258E4889" w14:textId="77777777" w:rsidR="00AD0AE3" w:rsidRPr="00DA42E7" w:rsidRDefault="00AD0AE3" w:rsidP="00EA17AD">
            <w:pPr>
              <w:rPr>
                <w:color w:val="auto"/>
                <w:szCs w:val="18"/>
              </w:rPr>
            </w:pPr>
          </w:p>
        </w:tc>
        <w:tc>
          <w:tcPr>
            <w:tcW w:w="1134" w:type="dxa"/>
          </w:tcPr>
          <w:p w14:paraId="5E816F9B" w14:textId="77777777" w:rsidR="00AD0AE3" w:rsidRPr="00DA42E7" w:rsidRDefault="00AD0AE3" w:rsidP="00EA17AD">
            <w:pPr>
              <w:rPr>
                <w:color w:val="auto"/>
                <w:szCs w:val="18"/>
              </w:rPr>
            </w:pPr>
            <w:r w:rsidRPr="00DA42E7">
              <w:rPr>
                <w:color w:val="auto"/>
                <w:szCs w:val="18"/>
              </w:rPr>
              <w:t>Use Constraints</w:t>
            </w:r>
          </w:p>
        </w:tc>
        <w:tc>
          <w:tcPr>
            <w:tcW w:w="2693" w:type="dxa"/>
          </w:tcPr>
          <w:p w14:paraId="26A38439" w14:textId="77777777" w:rsidR="00AD0AE3" w:rsidRPr="00DA42E7" w:rsidRDefault="00AD0AE3" w:rsidP="00EA17AD">
            <w:pPr>
              <w:rPr>
                <w:color w:val="auto"/>
                <w:szCs w:val="18"/>
              </w:rPr>
            </w:pPr>
            <w:r w:rsidRPr="00DA42E7">
              <w:rPr>
                <w:color w:val="auto"/>
                <w:szCs w:val="18"/>
              </w:rPr>
              <w:t xml:space="preserve">Details of any constraints that are not determined under the licence constraints regarding the use of the information being provided. </w:t>
            </w:r>
          </w:p>
        </w:tc>
        <w:tc>
          <w:tcPr>
            <w:tcW w:w="3119" w:type="dxa"/>
          </w:tcPr>
          <w:p w14:paraId="6A143C4C" w14:textId="77777777" w:rsidR="00AD0AE3" w:rsidRPr="00DA42E7" w:rsidRDefault="00AD0AE3" w:rsidP="00EA17AD">
            <w:pPr>
              <w:rPr>
                <w:i/>
                <w:color w:val="auto"/>
                <w:szCs w:val="18"/>
              </w:rPr>
            </w:pPr>
            <w:r w:rsidRPr="00DA42E7">
              <w:rPr>
                <w:i/>
                <w:color w:val="auto"/>
                <w:szCs w:val="18"/>
              </w:rPr>
              <w:t>As per licence</w:t>
            </w:r>
          </w:p>
        </w:tc>
      </w:tr>
      <w:tr w:rsidR="00AD0AE3" w:rsidRPr="00DA42E7" w14:paraId="5965D0A9" w14:textId="77777777" w:rsidTr="00AD0AE3">
        <w:trPr>
          <w:cnfStyle w:val="000000100000" w:firstRow="0" w:lastRow="0" w:firstColumn="0" w:lastColumn="0" w:oddVBand="0" w:evenVBand="0" w:oddHBand="1" w:evenHBand="0" w:firstRowFirstColumn="0" w:firstRowLastColumn="0" w:lastRowFirstColumn="0" w:lastRowLastColumn="0"/>
        </w:trPr>
        <w:tc>
          <w:tcPr>
            <w:tcW w:w="1129" w:type="dxa"/>
            <w:vMerge/>
          </w:tcPr>
          <w:p w14:paraId="0BEF7E05" w14:textId="77777777" w:rsidR="00AD0AE3" w:rsidRPr="00DA42E7" w:rsidRDefault="00AD0AE3" w:rsidP="00EA17AD">
            <w:pPr>
              <w:rPr>
                <w:color w:val="auto"/>
                <w:szCs w:val="18"/>
              </w:rPr>
            </w:pPr>
          </w:p>
        </w:tc>
        <w:tc>
          <w:tcPr>
            <w:tcW w:w="1418" w:type="dxa"/>
            <w:vMerge/>
          </w:tcPr>
          <w:p w14:paraId="7DC239E3" w14:textId="77777777" w:rsidR="00AD0AE3" w:rsidRPr="00DA42E7" w:rsidRDefault="00AD0AE3" w:rsidP="00EA17AD">
            <w:pPr>
              <w:rPr>
                <w:color w:val="auto"/>
                <w:szCs w:val="18"/>
              </w:rPr>
            </w:pPr>
          </w:p>
        </w:tc>
        <w:tc>
          <w:tcPr>
            <w:tcW w:w="1134" w:type="dxa"/>
          </w:tcPr>
          <w:p w14:paraId="1F33C2E3" w14:textId="77777777" w:rsidR="00AD0AE3" w:rsidRPr="00DA42E7" w:rsidRDefault="00AD0AE3" w:rsidP="00EA17AD">
            <w:pPr>
              <w:rPr>
                <w:color w:val="auto"/>
                <w:szCs w:val="18"/>
              </w:rPr>
            </w:pPr>
            <w:r w:rsidRPr="00DA42E7">
              <w:rPr>
                <w:color w:val="auto"/>
                <w:szCs w:val="18"/>
              </w:rPr>
              <w:t xml:space="preserve">Country (of data ownership) </w:t>
            </w:r>
          </w:p>
        </w:tc>
        <w:tc>
          <w:tcPr>
            <w:tcW w:w="2693" w:type="dxa"/>
          </w:tcPr>
          <w:p w14:paraId="1FC8370A" w14:textId="77777777" w:rsidR="00AD0AE3" w:rsidRPr="00DA42E7" w:rsidRDefault="00AD0AE3" w:rsidP="00EA17AD">
            <w:pPr>
              <w:rPr>
                <w:color w:val="auto"/>
                <w:szCs w:val="18"/>
              </w:rPr>
            </w:pPr>
            <w:r w:rsidRPr="00DA42E7">
              <w:rPr>
                <w:color w:val="auto"/>
                <w:szCs w:val="18"/>
              </w:rPr>
              <w:t xml:space="preserve">Country of the owner of the data. </w:t>
            </w:r>
          </w:p>
        </w:tc>
        <w:tc>
          <w:tcPr>
            <w:tcW w:w="3119" w:type="dxa"/>
          </w:tcPr>
          <w:p w14:paraId="5EF4336D" w14:textId="77777777" w:rsidR="00AD0AE3" w:rsidRPr="00DA42E7" w:rsidRDefault="00AD0AE3" w:rsidP="00EA17AD">
            <w:pPr>
              <w:rPr>
                <w:i/>
                <w:color w:val="auto"/>
                <w:szCs w:val="18"/>
              </w:rPr>
            </w:pPr>
            <w:r w:rsidRPr="00DA42E7">
              <w:rPr>
                <w:i/>
                <w:color w:val="auto"/>
                <w:szCs w:val="18"/>
              </w:rPr>
              <w:t>Australia</w:t>
            </w:r>
          </w:p>
        </w:tc>
      </w:tr>
      <w:tr w:rsidR="00AD0AE3" w:rsidRPr="00DA42E7" w14:paraId="598B8F3E" w14:textId="77777777" w:rsidTr="00AD0AE3">
        <w:trPr>
          <w:cnfStyle w:val="000000010000" w:firstRow="0" w:lastRow="0" w:firstColumn="0" w:lastColumn="0" w:oddVBand="0" w:evenVBand="0" w:oddHBand="0" w:evenHBand="1" w:firstRowFirstColumn="0" w:firstRowLastColumn="0" w:lastRowFirstColumn="0" w:lastRowLastColumn="0"/>
        </w:trPr>
        <w:tc>
          <w:tcPr>
            <w:tcW w:w="1129" w:type="dxa"/>
            <w:vMerge w:val="restart"/>
          </w:tcPr>
          <w:p w14:paraId="3202CB19" w14:textId="77777777" w:rsidR="00AD0AE3" w:rsidRPr="00DA42E7" w:rsidRDefault="00AD0AE3" w:rsidP="00EA17AD">
            <w:pPr>
              <w:rPr>
                <w:color w:val="auto"/>
                <w:szCs w:val="18"/>
              </w:rPr>
            </w:pPr>
            <w:r w:rsidRPr="00DA42E7">
              <w:rPr>
                <w:color w:val="auto"/>
                <w:szCs w:val="18"/>
              </w:rPr>
              <w:lastRenderedPageBreak/>
              <w:t>Survey Positioning Data</w:t>
            </w:r>
          </w:p>
        </w:tc>
        <w:tc>
          <w:tcPr>
            <w:tcW w:w="1418" w:type="dxa"/>
            <w:vMerge w:val="restart"/>
          </w:tcPr>
          <w:p w14:paraId="3036408B" w14:textId="77777777" w:rsidR="00AD0AE3" w:rsidRPr="00DA42E7" w:rsidRDefault="00AD0AE3" w:rsidP="00EA17AD">
            <w:pPr>
              <w:rPr>
                <w:color w:val="auto"/>
                <w:szCs w:val="18"/>
              </w:rPr>
            </w:pPr>
            <w:r w:rsidRPr="00DA42E7">
              <w:rPr>
                <w:color w:val="auto"/>
                <w:szCs w:val="18"/>
              </w:rPr>
              <w:t xml:space="preserve">The information provided in the positioning data provides for both an overview of the survey’s coverage, and the primary coordination reference system that was used to collect/prepare the survey data. </w:t>
            </w:r>
          </w:p>
        </w:tc>
        <w:tc>
          <w:tcPr>
            <w:tcW w:w="1134" w:type="dxa"/>
          </w:tcPr>
          <w:p w14:paraId="2C56F2C2" w14:textId="77777777" w:rsidR="00AD0AE3" w:rsidRPr="00DA42E7" w:rsidRDefault="00AD0AE3" w:rsidP="00EA17AD">
            <w:pPr>
              <w:rPr>
                <w:color w:val="auto"/>
                <w:szCs w:val="18"/>
              </w:rPr>
            </w:pPr>
            <w:r w:rsidRPr="00DA42E7">
              <w:rPr>
                <w:color w:val="auto"/>
                <w:szCs w:val="18"/>
              </w:rPr>
              <w:t xml:space="preserve">Survey area (general)  </w:t>
            </w:r>
          </w:p>
        </w:tc>
        <w:tc>
          <w:tcPr>
            <w:tcW w:w="2693" w:type="dxa"/>
          </w:tcPr>
          <w:p w14:paraId="1EABC349" w14:textId="77777777" w:rsidR="00AD0AE3" w:rsidRPr="00DA42E7" w:rsidRDefault="00AD0AE3" w:rsidP="00EA17AD">
            <w:pPr>
              <w:rPr>
                <w:color w:val="auto"/>
                <w:szCs w:val="18"/>
              </w:rPr>
            </w:pPr>
            <w:r w:rsidRPr="00DA42E7">
              <w:rPr>
                <w:color w:val="auto"/>
                <w:szCs w:val="18"/>
              </w:rPr>
              <w:t>Plain English description of the location of the survey.</w:t>
            </w:r>
          </w:p>
        </w:tc>
        <w:tc>
          <w:tcPr>
            <w:tcW w:w="3119" w:type="dxa"/>
          </w:tcPr>
          <w:p w14:paraId="3E6F93F2" w14:textId="77777777" w:rsidR="00AD0AE3" w:rsidRPr="00DA42E7" w:rsidRDefault="00AD0AE3" w:rsidP="00EA17AD">
            <w:pPr>
              <w:rPr>
                <w:i/>
                <w:color w:val="auto"/>
                <w:szCs w:val="18"/>
              </w:rPr>
            </w:pPr>
            <w:r w:rsidRPr="00DA42E7">
              <w:rPr>
                <w:i/>
                <w:color w:val="auto"/>
                <w:szCs w:val="18"/>
              </w:rPr>
              <w:t xml:space="preserve">Indian ocean approximately 1100nm off the coast of Perth Australia. </w:t>
            </w:r>
          </w:p>
        </w:tc>
      </w:tr>
      <w:tr w:rsidR="00AD0AE3" w:rsidRPr="00DA42E7" w14:paraId="4FB2C580" w14:textId="77777777" w:rsidTr="00AD0AE3">
        <w:trPr>
          <w:cnfStyle w:val="000000100000" w:firstRow="0" w:lastRow="0" w:firstColumn="0" w:lastColumn="0" w:oddVBand="0" w:evenVBand="0" w:oddHBand="1" w:evenHBand="0" w:firstRowFirstColumn="0" w:firstRowLastColumn="0" w:lastRowFirstColumn="0" w:lastRowLastColumn="0"/>
        </w:trPr>
        <w:tc>
          <w:tcPr>
            <w:tcW w:w="1129" w:type="dxa"/>
            <w:vMerge/>
          </w:tcPr>
          <w:p w14:paraId="5A031FAE" w14:textId="77777777" w:rsidR="00AD0AE3" w:rsidRPr="00DA42E7" w:rsidRDefault="00AD0AE3" w:rsidP="00EA17AD">
            <w:pPr>
              <w:rPr>
                <w:color w:val="auto"/>
                <w:szCs w:val="18"/>
              </w:rPr>
            </w:pPr>
          </w:p>
        </w:tc>
        <w:tc>
          <w:tcPr>
            <w:tcW w:w="1418" w:type="dxa"/>
            <w:vMerge/>
          </w:tcPr>
          <w:p w14:paraId="44E32E1A" w14:textId="77777777" w:rsidR="00AD0AE3" w:rsidRPr="00DA42E7" w:rsidRDefault="00AD0AE3" w:rsidP="00EA17AD">
            <w:pPr>
              <w:rPr>
                <w:color w:val="auto"/>
                <w:szCs w:val="18"/>
              </w:rPr>
            </w:pPr>
          </w:p>
        </w:tc>
        <w:tc>
          <w:tcPr>
            <w:tcW w:w="1134" w:type="dxa"/>
          </w:tcPr>
          <w:p w14:paraId="5A6C77C1" w14:textId="77777777" w:rsidR="00AD0AE3" w:rsidRPr="00DA42E7" w:rsidRDefault="00AD0AE3" w:rsidP="00EA17AD">
            <w:pPr>
              <w:rPr>
                <w:color w:val="auto"/>
                <w:szCs w:val="18"/>
              </w:rPr>
            </w:pPr>
            <w:r w:rsidRPr="00DA42E7">
              <w:rPr>
                <w:color w:val="auto"/>
                <w:szCs w:val="18"/>
              </w:rPr>
              <w:t xml:space="preserve">Survey bounding box coordinates </w:t>
            </w:r>
          </w:p>
        </w:tc>
        <w:tc>
          <w:tcPr>
            <w:tcW w:w="2693" w:type="dxa"/>
          </w:tcPr>
          <w:p w14:paraId="0E3B1EED" w14:textId="77777777" w:rsidR="00AD0AE3" w:rsidRPr="00DA42E7" w:rsidRDefault="00AD0AE3" w:rsidP="00EA17AD">
            <w:pPr>
              <w:rPr>
                <w:color w:val="auto"/>
                <w:szCs w:val="18"/>
              </w:rPr>
            </w:pPr>
            <w:r w:rsidRPr="00DA42E7">
              <w:rPr>
                <w:color w:val="auto"/>
                <w:szCs w:val="18"/>
              </w:rPr>
              <w:t xml:space="preserve">The detailed coordinates of the survey. This may be provided in a variety of formats, however full positioning information is required. </w:t>
            </w:r>
          </w:p>
        </w:tc>
        <w:tc>
          <w:tcPr>
            <w:tcW w:w="3119" w:type="dxa"/>
            <w:vMerge w:val="restart"/>
          </w:tcPr>
          <w:p w14:paraId="0D1E2E96" w14:textId="77777777" w:rsidR="00AD0AE3" w:rsidRPr="00DA42E7" w:rsidRDefault="00AD0AE3" w:rsidP="00EA17AD">
            <w:pPr>
              <w:rPr>
                <w:i/>
                <w:color w:val="auto"/>
                <w:szCs w:val="18"/>
              </w:rPr>
            </w:pPr>
            <w:r w:rsidRPr="00DA42E7">
              <w:rPr>
                <w:i/>
                <w:color w:val="auto"/>
                <w:szCs w:val="18"/>
              </w:rPr>
              <w:t>78.00, -42.00, 116.00, -12.00</w:t>
            </w:r>
          </w:p>
          <w:p w14:paraId="59EDE4B7" w14:textId="77777777" w:rsidR="00AD0AE3" w:rsidRPr="00DA42E7" w:rsidRDefault="00AD0AE3" w:rsidP="00EA17AD">
            <w:pPr>
              <w:rPr>
                <w:i/>
                <w:color w:val="auto"/>
                <w:szCs w:val="18"/>
              </w:rPr>
            </w:pPr>
          </w:p>
          <w:p w14:paraId="166C317A" w14:textId="77777777" w:rsidR="00AD0AE3" w:rsidRPr="00DA42E7" w:rsidRDefault="00AD0AE3" w:rsidP="00EA17AD">
            <w:pPr>
              <w:rPr>
                <w:i/>
                <w:color w:val="auto"/>
                <w:szCs w:val="18"/>
              </w:rPr>
            </w:pPr>
            <w:r w:rsidRPr="00DA42E7">
              <w:rPr>
                <w:i/>
                <w:color w:val="auto"/>
                <w:szCs w:val="18"/>
              </w:rPr>
              <w:t>"WGS 84 / UTM zone 44S (EPSG:32744)","WGS 84 / UTM zone 46S (EPSG:32746)","WGS 84 / UTM zone 47S (EPSG:32747)","WGS 84 / UTM zone 48S (EPSG:32748)","WGS 84 / UTM zone 49S (EPSG:32749)","WGS 84 / UTM zone 50S (EPSG:32750)"</w:t>
            </w:r>
          </w:p>
        </w:tc>
      </w:tr>
      <w:tr w:rsidR="00AD0AE3" w:rsidRPr="00DA42E7" w14:paraId="71D95D5E" w14:textId="77777777" w:rsidTr="00AD0AE3">
        <w:trPr>
          <w:cnfStyle w:val="000000010000" w:firstRow="0" w:lastRow="0" w:firstColumn="0" w:lastColumn="0" w:oddVBand="0" w:evenVBand="0" w:oddHBand="0" w:evenHBand="1" w:firstRowFirstColumn="0" w:firstRowLastColumn="0" w:lastRowFirstColumn="0" w:lastRowLastColumn="0"/>
        </w:trPr>
        <w:tc>
          <w:tcPr>
            <w:tcW w:w="1129" w:type="dxa"/>
            <w:vMerge/>
          </w:tcPr>
          <w:p w14:paraId="184F9179" w14:textId="77777777" w:rsidR="00AD0AE3" w:rsidRPr="00DA42E7" w:rsidRDefault="00AD0AE3" w:rsidP="00EA17AD">
            <w:pPr>
              <w:rPr>
                <w:color w:val="auto"/>
                <w:szCs w:val="18"/>
              </w:rPr>
            </w:pPr>
          </w:p>
        </w:tc>
        <w:tc>
          <w:tcPr>
            <w:tcW w:w="1418" w:type="dxa"/>
            <w:vMerge/>
          </w:tcPr>
          <w:p w14:paraId="3F8C9DDB" w14:textId="77777777" w:rsidR="00AD0AE3" w:rsidRPr="00DA42E7" w:rsidRDefault="00AD0AE3" w:rsidP="00EA17AD">
            <w:pPr>
              <w:rPr>
                <w:color w:val="auto"/>
                <w:szCs w:val="18"/>
              </w:rPr>
            </w:pPr>
          </w:p>
        </w:tc>
        <w:tc>
          <w:tcPr>
            <w:tcW w:w="1134" w:type="dxa"/>
          </w:tcPr>
          <w:p w14:paraId="1090BEAA" w14:textId="77777777" w:rsidR="00AD0AE3" w:rsidRPr="00DA42E7" w:rsidRDefault="00AD0AE3" w:rsidP="00EA17AD">
            <w:pPr>
              <w:rPr>
                <w:color w:val="auto"/>
                <w:szCs w:val="18"/>
              </w:rPr>
            </w:pPr>
            <w:r w:rsidRPr="00DA42E7">
              <w:rPr>
                <w:color w:val="auto"/>
                <w:szCs w:val="18"/>
              </w:rPr>
              <w:t>Coordinate reference system - Bounding Box</w:t>
            </w:r>
          </w:p>
        </w:tc>
        <w:tc>
          <w:tcPr>
            <w:tcW w:w="2693" w:type="dxa"/>
          </w:tcPr>
          <w:p w14:paraId="1BEF4D03" w14:textId="77777777" w:rsidR="00AD0AE3" w:rsidRPr="00DA42E7" w:rsidRDefault="00AD0AE3" w:rsidP="00EA17AD">
            <w:pPr>
              <w:rPr>
                <w:color w:val="auto"/>
                <w:szCs w:val="18"/>
              </w:rPr>
            </w:pPr>
            <w:r w:rsidRPr="00DA42E7">
              <w:rPr>
                <w:color w:val="auto"/>
                <w:szCs w:val="18"/>
              </w:rPr>
              <w:t xml:space="preserve">The coordinate reference system used to define the survey bounding box. </w:t>
            </w:r>
          </w:p>
        </w:tc>
        <w:tc>
          <w:tcPr>
            <w:tcW w:w="3119" w:type="dxa"/>
            <w:vMerge/>
          </w:tcPr>
          <w:p w14:paraId="466A29FB" w14:textId="77777777" w:rsidR="00AD0AE3" w:rsidRPr="00DA42E7" w:rsidRDefault="00AD0AE3" w:rsidP="00EA17AD">
            <w:pPr>
              <w:rPr>
                <w:i/>
                <w:color w:val="auto"/>
                <w:szCs w:val="18"/>
              </w:rPr>
            </w:pPr>
          </w:p>
        </w:tc>
      </w:tr>
      <w:tr w:rsidR="00AD0AE3" w:rsidRPr="00DA42E7" w14:paraId="2365679D" w14:textId="77777777" w:rsidTr="00AD0AE3">
        <w:trPr>
          <w:cnfStyle w:val="000000100000" w:firstRow="0" w:lastRow="0" w:firstColumn="0" w:lastColumn="0" w:oddVBand="0" w:evenVBand="0" w:oddHBand="1" w:evenHBand="0" w:firstRowFirstColumn="0" w:firstRowLastColumn="0" w:lastRowFirstColumn="0" w:lastRowLastColumn="0"/>
        </w:trPr>
        <w:tc>
          <w:tcPr>
            <w:tcW w:w="1129" w:type="dxa"/>
            <w:vMerge/>
          </w:tcPr>
          <w:p w14:paraId="3ADFE186" w14:textId="77777777" w:rsidR="00AD0AE3" w:rsidRPr="00DA42E7" w:rsidRDefault="00AD0AE3" w:rsidP="00EA17AD">
            <w:pPr>
              <w:rPr>
                <w:color w:val="auto"/>
                <w:szCs w:val="18"/>
              </w:rPr>
            </w:pPr>
          </w:p>
        </w:tc>
        <w:tc>
          <w:tcPr>
            <w:tcW w:w="1418" w:type="dxa"/>
            <w:vMerge/>
          </w:tcPr>
          <w:p w14:paraId="39DBAD9E" w14:textId="77777777" w:rsidR="00AD0AE3" w:rsidRPr="00DA42E7" w:rsidRDefault="00AD0AE3" w:rsidP="00EA17AD">
            <w:pPr>
              <w:rPr>
                <w:color w:val="auto"/>
                <w:szCs w:val="18"/>
              </w:rPr>
            </w:pPr>
          </w:p>
        </w:tc>
        <w:tc>
          <w:tcPr>
            <w:tcW w:w="1134" w:type="dxa"/>
          </w:tcPr>
          <w:p w14:paraId="3BA05B5E" w14:textId="77777777" w:rsidR="00AD0AE3" w:rsidRPr="00DA42E7" w:rsidRDefault="00AD0AE3" w:rsidP="00EA17AD">
            <w:pPr>
              <w:rPr>
                <w:color w:val="auto"/>
                <w:szCs w:val="18"/>
              </w:rPr>
            </w:pPr>
            <w:r w:rsidRPr="00DA42E7">
              <w:rPr>
                <w:color w:val="auto"/>
                <w:szCs w:val="18"/>
              </w:rPr>
              <w:t>Coordinate reference system - Survey Data</w:t>
            </w:r>
          </w:p>
        </w:tc>
        <w:tc>
          <w:tcPr>
            <w:tcW w:w="2693" w:type="dxa"/>
          </w:tcPr>
          <w:p w14:paraId="11DDFE3E" w14:textId="77777777" w:rsidR="00AD0AE3" w:rsidRPr="00DA42E7" w:rsidRDefault="00AD0AE3" w:rsidP="00EA17AD">
            <w:pPr>
              <w:rPr>
                <w:color w:val="auto"/>
                <w:szCs w:val="18"/>
              </w:rPr>
            </w:pPr>
            <w:r w:rsidRPr="00DA42E7">
              <w:rPr>
                <w:color w:val="auto"/>
                <w:szCs w:val="18"/>
              </w:rPr>
              <w:t>The coordinate reference system used for data collection.</w:t>
            </w:r>
          </w:p>
        </w:tc>
        <w:tc>
          <w:tcPr>
            <w:tcW w:w="3119" w:type="dxa"/>
          </w:tcPr>
          <w:p w14:paraId="0C6F42E1" w14:textId="77777777" w:rsidR="00AD0AE3" w:rsidRPr="00DA42E7" w:rsidRDefault="00AD0AE3" w:rsidP="00EA17AD">
            <w:pPr>
              <w:rPr>
                <w:i/>
                <w:color w:val="auto"/>
                <w:szCs w:val="18"/>
              </w:rPr>
            </w:pPr>
            <w:r w:rsidRPr="00DA42E7">
              <w:rPr>
                <w:i/>
                <w:color w:val="auto"/>
                <w:szCs w:val="18"/>
              </w:rPr>
              <w:t>"WGS 84 / UTM zone 44S (EPSG:32744)","WGS 84 / UTM zone 46S (EPSG:32746)","WGS 84 / UTM zone 47S (EPSG:32747)","WGS 84 / UTM zone 48S (EPSG:32748)","WGS 84 / UTM zone 49S (EPSG:32749)","WGS 84 / UTM zone 50S (EPSG:32750)"</w:t>
            </w:r>
          </w:p>
        </w:tc>
      </w:tr>
      <w:tr w:rsidR="00AD0AE3" w:rsidRPr="00DA42E7" w14:paraId="4F219F8F" w14:textId="77777777" w:rsidTr="00AD0AE3">
        <w:trPr>
          <w:cnfStyle w:val="000000010000" w:firstRow="0" w:lastRow="0" w:firstColumn="0" w:lastColumn="0" w:oddVBand="0" w:evenVBand="0" w:oddHBand="0" w:evenHBand="1" w:firstRowFirstColumn="0" w:firstRowLastColumn="0" w:lastRowFirstColumn="0" w:lastRowLastColumn="0"/>
        </w:trPr>
        <w:tc>
          <w:tcPr>
            <w:tcW w:w="1129" w:type="dxa"/>
            <w:vMerge w:val="restart"/>
          </w:tcPr>
          <w:p w14:paraId="0444BC85" w14:textId="77777777" w:rsidR="00AD0AE3" w:rsidRPr="00DA42E7" w:rsidRDefault="00AD0AE3" w:rsidP="00EA17AD">
            <w:pPr>
              <w:rPr>
                <w:color w:val="auto"/>
                <w:szCs w:val="18"/>
              </w:rPr>
            </w:pPr>
            <w:r w:rsidRPr="00DA42E7">
              <w:rPr>
                <w:color w:val="auto"/>
                <w:szCs w:val="18"/>
              </w:rPr>
              <w:t>Reference System</w:t>
            </w:r>
          </w:p>
        </w:tc>
        <w:tc>
          <w:tcPr>
            <w:tcW w:w="1418" w:type="dxa"/>
            <w:vMerge w:val="restart"/>
          </w:tcPr>
          <w:p w14:paraId="5C00DC8F" w14:textId="77777777" w:rsidR="00AD0AE3" w:rsidRPr="00DA42E7" w:rsidRDefault="00AD0AE3" w:rsidP="00EA17AD">
            <w:pPr>
              <w:rPr>
                <w:color w:val="auto"/>
                <w:szCs w:val="18"/>
              </w:rPr>
            </w:pPr>
            <w:r w:rsidRPr="00DA42E7">
              <w:rPr>
                <w:color w:val="auto"/>
                <w:szCs w:val="18"/>
              </w:rPr>
              <w:t xml:space="preserve">The finer details of the reference system used for data collection. </w:t>
            </w:r>
          </w:p>
        </w:tc>
        <w:tc>
          <w:tcPr>
            <w:tcW w:w="1134" w:type="dxa"/>
          </w:tcPr>
          <w:p w14:paraId="281A342A" w14:textId="77777777" w:rsidR="00AD0AE3" w:rsidRPr="00DA42E7" w:rsidRDefault="00AD0AE3" w:rsidP="00EA17AD">
            <w:pPr>
              <w:rPr>
                <w:color w:val="auto"/>
                <w:szCs w:val="18"/>
              </w:rPr>
            </w:pPr>
            <w:r w:rsidRPr="00DA42E7">
              <w:rPr>
                <w:color w:val="auto"/>
                <w:szCs w:val="18"/>
              </w:rPr>
              <w:t>Geodetic datum of the survey</w:t>
            </w:r>
          </w:p>
        </w:tc>
        <w:tc>
          <w:tcPr>
            <w:tcW w:w="2693" w:type="dxa"/>
          </w:tcPr>
          <w:p w14:paraId="104FFD69" w14:textId="77777777" w:rsidR="00AD0AE3" w:rsidRPr="00DA42E7" w:rsidRDefault="00AD0AE3" w:rsidP="00EA17AD">
            <w:pPr>
              <w:rPr>
                <w:color w:val="auto"/>
                <w:szCs w:val="18"/>
              </w:rPr>
            </w:pPr>
            <w:r w:rsidRPr="00DA42E7">
              <w:rPr>
                <w:color w:val="auto"/>
                <w:szCs w:val="18"/>
              </w:rPr>
              <w:t>The reference datum of the data collected</w:t>
            </w:r>
          </w:p>
        </w:tc>
        <w:tc>
          <w:tcPr>
            <w:tcW w:w="3119" w:type="dxa"/>
          </w:tcPr>
          <w:p w14:paraId="67B969ED" w14:textId="77777777" w:rsidR="00AD0AE3" w:rsidRPr="00DA42E7" w:rsidRDefault="00AD0AE3" w:rsidP="00EA17AD">
            <w:pPr>
              <w:rPr>
                <w:i/>
                <w:color w:val="auto"/>
                <w:szCs w:val="18"/>
              </w:rPr>
            </w:pPr>
            <w:r w:rsidRPr="00DA42E7">
              <w:rPr>
                <w:i/>
                <w:color w:val="auto"/>
                <w:szCs w:val="18"/>
              </w:rPr>
              <w:t>WGS 84</w:t>
            </w:r>
          </w:p>
        </w:tc>
      </w:tr>
      <w:tr w:rsidR="00AD0AE3" w:rsidRPr="00DA42E7" w14:paraId="10228CB0" w14:textId="77777777" w:rsidTr="00AD0AE3">
        <w:trPr>
          <w:cnfStyle w:val="000000100000" w:firstRow="0" w:lastRow="0" w:firstColumn="0" w:lastColumn="0" w:oddVBand="0" w:evenVBand="0" w:oddHBand="1" w:evenHBand="0" w:firstRowFirstColumn="0" w:firstRowLastColumn="0" w:lastRowFirstColumn="0" w:lastRowLastColumn="0"/>
        </w:trPr>
        <w:tc>
          <w:tcPr>
            <w:tcW w:w="1129" w:type="dxa"/>
            <w:vMerge/>
          </w:tcPr>
          <w:p w14:paraId="57F31175" w14:textId="77777777" w:rsidR="00AD0AE3" w:rsidRPr="00DA42E7" w:rsidRDefault="00AD0AE3" w:rsidP="00EA17AD">
            <w:pPr>
              <w:rPr>
                <w:color w:val="auto"/>
                <w:szCs w:val="18"/>
              </w:rPr>
            </w:pPr>
          </w:p>
        </w:tc>
        <w:tc>
          <w:tcPr>
            <w:tcW w:w="1418" w:type="dxa"/>
            <w:vMerge/>
          </w:tcPr>
          <w:p w14:paraId="22F18D8C" w14:textId="77777777" w:rsidR="00AD0AE3" w:rsidRPr="00DA42E7" w:rsidRDefault="00AD0AE3" w:rsidP="00EA17AD">
            <w:pPr>
              <w:rPr>
                <w:color w:val="auto"/>
                <w:szCs w:val="18"/>
              </w:rPr>
            </w:pPr>
          </w:p>
        </w:tc>
        <w:tc>
          <w:tcPr>
            <w:tcW w:w="1134" w:type="dxa"/>
          </w:tcPr>
          <w:p w14:paraId="27CFF7BF" w14:textId="77777777" w:rsidR="00AD0AE3" w:rsidRPr="00DA42E7" w:rsidRDefault="00AD0AE3" w:rsidP="00EA17AD">
            <w:pPr>
              <w:rPr>
                <w:color w:val="auto"/>
                <w:szCs w:val="18"/>
              </w:rPr>
            </w:pPr>
            <w:r w:rsidRPr="00DA42E7">
              <w:rPr>
                <w:color w:val="auto"/>
                <w:szCs w:val="18"/>
              </w:rPr>
              <w:t>Horizontal Datum</w:t>
            </w:r>
          </w:p>
        </w:tc>
        <w:tc>
          <w:tcPr>
            <w:tcW w:w="2693" w:type="dxa"/>
          </w:tcPr>
          <w:p w14:paraId="70602397" w14:textId="77777777" w:rsidR="00AD0AE3" w:rsidRPr="00DA42E7" w:rsidRDefault="00AD0AE3" w:rsidP="00EA17AD">
            <w:pPr>
              <w:rPr>
                <w:color w:val="auto"/>
                <w:szCs w:val="18"/>
              </w:rPr>
            </w:pPr>
            <w:r w:rsidRPr="00DA42E7">
              <w:rPr>
                <w:color w:val="auto"/>
                <w:szCs w:val="18"/>
              </w:rPr>
              <w:t>The horizontal reference datum for data collection</w:t>
            </w:r>
          </w:p>
        </w:tc>
        <w:tc>
          <w:tcPr>
            <w:tcW w:w="3119" w:type="dxa"/>
          </w:tcPr>
          <w:p w14:paraId="33424374" w14:textId="77777777" w:rsidR="00AD0AE3" w:rsidRPr="00DA42E7" w:rsidRDefault="00AD0AE3" w:rsidP="00EA17AD">
            <w:pPr>
              <w:rPr>
                <w:i/>
                <w:color w:val="auto"/>
                <w:szCs w:val="18"/>
              </w:rPr>
            </w:pPr>
            <w:r w:rsidRPr="00DA42E7">
              <w:rPr>
                <w:i/>
                <w:color w:val="auto"/>
                <w:szCs w:val="18"/>
              </w:rPr>
              <w:t>UTM</w:t>
            </w:r>
          </w:p>
        </w:tc>
      </w:tr>
      <w:tr w:rsidR="00AD0AE3" w:rsidRPr="00DA42E7" w14:paraId="543A25BA" w14:textId="77777777" w:rsidTr="00AD0AE3">
        <w:trPr>
          <w:cnfStyle w:val="000000010000" w:firstRow="0" w:lastRow="0" w:firstColumn="0" w:lastColumn="0" w:oddVBand="0" w:evenVBand="0" w:oddHBand="0" w:evenHBand="1" w:firstRowFirstColumn="0" w:firstRowLastColumn="0" w:lastRowFirstColumn="0" w:lastRowLastColumn="0"/>
        </w:trPr>
        <w:tc>
          <w:tcPr>
            <w:tcW w:w="1129" w:type="dxa"/>
            <w:vMerge/>
          </w:tcPr>
          <w:p w14:paraId="187C03B9" w14:textId="77777777" w:rsidR="00AD0AE3" w:rsidRPr="00DA42E7" w:rsidRDefault="00AD0AE3" w:rsidP="00EA17AD">
            <w:pPr>
              <w:rPr>
                <w:color w:val="auto"/>
                <w:szCs w:val="18"/>
              </w:rPr>
            </w:pPr>
          </w:p>
        </w:tc>
        <w:tc>
          <w:tcPr>
            <w:tcW w:w="1418" w:type="dxa"/>
            <w:vMerge/>
          </w:tcPr>
          <w:p w14:paraId="68A78421" w14:textId="77777777" w:rsidR="00AD0AE3" w:rsidRPr="00DA42E7" w:rsidRDefault="00AD0AE3" w:rsidP="00EA17AD">
            <w:pPr>
              <w:rPr>
                <w:color w:val="auto"/>
                <w:szCs w:val="18"/>
              </w:rPr>
            </w:pPr>
          </w:p>
        </w:tc>
        <w:tc>
          <w:tcPr>
            <w:tcW w:w="1134" w:type="dxa"/>
          </w:tcPr>
          <w:p w14:paraId="7D84E177" w14:textId="77777777" w:rsidR="00AD0AE3" w:rsidRPr="00DA42E7" w:rsidRDefault="00AD0AE3" w:rsidP="00EA17AD">
            <w:pPr>
              <w:rPr>
                <w:color w:val="auto"/>
                <w:szCs w:val="18"/>
              </w:rPr>
            </w:pPr>
            <w:r w:rsidRPr="00DA42E7">
              <w:rPr>
                <w:color w:val="auto"/>
                <w:szCs w:val="18"/>
              </w:rPr>
              <w:t>Vertical Datum</w:t>
            </w:r>
          </w:p>
        </w:tc>
        <w:tc>
          <w:tcPr>
            <w:tcW w:w="2693" w:type="dxa"/>
          </w:tcPr>
          <w:p w14:paraId="6DCA9F9E" w14:textId="77777777" w:rsidR="00AD0AE3" w:rsidRPr="00DA42E7" w:rsidRDefault="00AD0AE3" w:rsidP="00EA17AD">
            <w:pPr>
              <w:rPr>
                <w:color w:val="auto"/>
                <w:szCs w:val="18"/>
              </w:rPr>
            </w:pPr>
            <w:r w:rsidRPr="00DA42E7">
              <w:rPr>
                <w:color w:val="auto"/>
                <w:szCs w:val="18"/>
              </w:rPr>
              <w:t>The vertical reference datum for data collection</w:t>
            </w:r>
          </w:p>
        </w:tc>
        <w:tc>
          <w:tcPr>
            <w:tcW w:w="3119" w:type="dxa"/>
          </w:tcPr>
          <w:p w14:paraId="115A6750" w14:textId="77777777" w:rsidR="00AD0AE3" w:rsidRPr="00DA42E7" w:rsidRDefault="00AD0AE3" w:rsidP="00EA17AD">
            <w:pPr>
              <w:rPr>
                <w:i/>
                <w:color w:val="auto"/>
                <w:szCs w:val="18"/>
              </w:rPr>
            </w:pPr>
            <w:r w:rsidRPr="00DA42E7">
              <w:rPr>
                <w:i/>
                <w:color w:val="auto"/>
                <w:szCs w:val="18"/>
              </w:rPr>
              <w:t>MSL</w:t>
            </w:r>
          </w:p>
        </w:tc>
      </w:tr>
      <w:tr w:rsidR="00AD0AE3" w:rsidRPr="00DA42E7" w14:paraId="4A98D856" w14:textId="77777777" w:rsidTr="00AD0AE3">
        <w:trPr>
          <w:cnfStyle w:val="000000100000" w:firstRow="0" w:lastRow="0" w:firstColumn="0" w:lastColumn="0" w:oddVBand="0" w:evenVBand="0" w:oddHBand="1" w:evenHBand="0" w:firstRowFirstColumn="0" w:firstRowLastColumn="0" w:lastRowFirstColumn="0" w:lastRowLastColumn="0"/>
        </w:trPr>
        <w:tc>
          <w:tcPr>
            <w:tcW w:w="1129" w:type="dxa"/>
            <w:vMerge w:val="restart"/>
          </w:tcPr>
          <w:p w14:paraId="55C63D37" w14:textId="77777777" w:rsidR="00AD0AE3" w:rsidRPr="00DA42E7" w:rsidRDefault="00AD0AE3" w:rsidP="00EA17AD">
            <w:pPr>
              <w:rPr>
                <w:color w:val="auto"/>
                <w:szCs w:val="18"/>
              </w:rPr>
            </w:pPr>
            <w:r w:rsidRPr="00DA42E7">
              <w:rPr>
                <w:color w:val="auto"/>
                <w:szCs w:val="18"/>
              </w:rPr>
              <w:lastRenderedPageBreak/>
              <w:t>Survey Configuration</w:t>
            </w:r>
          </w:p>
        </w:tc>
        <w:tc>
          <w:tcPr>
            <w:tcW w:w="1418" w:type="dxa"/>
            <w:vMerge w:val="restart"/>
          </w:tcPr>
          <w:p w14:paraId="31274F5B" w14:textId="77777777" w:rsidR="00AD0AE3" w:rsidRPr="00DA42E7" w:rsidRDefault="00AD0AE3" w:rsidP="00EA17AD">
            <w:pPr>
              <w:rPr>
                <w:color w:val="auto"/>
                <w:szCs w:val="18"/>
              </w:rPr>
            </w:pPr>
            <w:r w:rsidRPr="00DA42E7">
              <w:rPr>
                <w:color w:val="auto"/>
                <w:szCs w:val="18"/>
              </w:rPr>
              <w:t xml:space="preserve">The configuration of the survey as it ran.  </w:t>
            </w:r>
          </w:p>
        </w:tc>
        <w:tc>
          <w:tcPr>
            <w:tcW w:w="1134" w:type="dxa"/>
          </w:tcPr>
          <w:p w14:paraId="4C1C30DF" w14:textId="77777777" w:rsidR="00AD0AE3" w:rsidRPr="00DA42E7" w:rsidRDefault="00AD0AE3" w:rsidP="00EA17AD">
            <w:pPr>
              <w:rPr>
                <w:color w:val="auto"/>
                <w:szCs w:val="18"/>
              </w:rPr>
            </w:pPr>
            <w:r w:rsidRPr="00DA42E7">
              <w:rPr>
                <w:color w:val="auto"/>
                <w:szCs w:val="18"/>
              </w:rPr>
              <w:t>Instrument type</w:t>
            </w:r>
          </w:p>
        </w:tc>
        <w:tc>
          <w:tcPr>
            <w:tcW w:w="2693" w:type="dxa"/>
          </w:tcPr>
          <w:p w14:paraId="708BBA8B" w14:textId="77777777" w:rsidR="00AD0AE3" w:rsidRPr="00DA42E7" w:rsidRDefault="00AD0AE3" w:rsidP="00EA17AD">
            <w:pPr>
              <w:rPr>
                <w:color w:val="auto"/>
                <w:szCs w:val="18"/>
              </w:rPr>
            </w:pPr>
            <w:r w:rsidRPr="00DA42E7">
              <w:rPr>
                <w:color w:val="auto"/>
                <w:szCs w:val="18"/>
              </w:rPr>
              <w:t>The type of instrument used to capture the data. Suggested values are:</w:t>
            </w:r>
          </w:p>
          <w:p w14:paraId="3B80570A" w14:textId="77777777" w:rsidR="00AD0AE3" w:rsidRPr="00DA42E7" w:rsidRDefault="00AD0AE3" w:rsidP="00AD0AE3">
            <w:pPr>
              <w:pStyle w:val="ListParagraph"/>
              <w:numPr>
                <w:ilvl w:val="0"/>
                <w:numId w:val="1"/>
              </w:numPr>
              <w:spacing w:before="0" w:after="0" w:line="240" w:lineRule="auto"/>
              <w:contextualSpacing/>
              <w:rPr>
                <w:szCs w:val="18"/>
              </w:rPr>
            </w:pPr>
            <w:r w:rsidRPr="00DA42E7">
              <w:rPr>
                <w:szCs w:val="18"/>
              </w:rPr>
              <w:t>Multi-beam</w:t>
            </w:r>
          </w:p>
          <w:p w14:paraId="4597EDE1" w14:textId="77777777" w:rsidR="00AD0AE3" w:rsidRPr="00DA42E7" w:rsidRDefault="00AD0AE3" w:rsidP="00AD0AE3">
            <w:pPr>
              <w:pStyle w:val="ListParagraph"/>
              <w:numPr>
                <w:ilvl w:val="0"/>
                <w:numId w:val="1"/>
              </w:numPr>
              <w:spacing w:before="0" w:after="0" w:line="240" w:lineRule="auto"/>
              <w:contextualSpacing/>
              <w:rPr>
                <w:szCs w:val="18"/>
              </w:rPr>
            </w:pPr>
            <w:r w:rsidRPr="00DA42E7">
              <w:rPr>
                <w:szCs w:val="18"/>
              </w:rPr>
              <w:t>Single-Beam</w:t>
            </w:r>
          </w:p>
          <w:p w14:paraId="708DA302" w14:textId="77777777" w:rsidR="00AD0AE3" w:rsidRPr="00DA42E7" w:rsidRDefault="00AD0AE3" w:rsidP="00AD0AE3">
            <w:pPr>
              <w:pStyle w:val="ListParagraph"/>
              <w:numPr>
                <w:ilvl w:val="0"/>
                <w:numId w:val="1"/>
              </w:numPr>
              <w:spacing w:before="0" w:after="0" w:line="240" w:lineRule="auto"/>
              <w:contextualSpacing/>
              <w:rPr>
                <w:szCs w:val="18"/>
              </w:rPr>
            </w:pPr>
            <w:r w:rsidRPr="00DA42E7">
              <w:rPr>
                <w:szCs w:val="18"/>
              </w:rPr>
              <w:t>Bathy LiDAR</w:t>
            </w:r>
          </w:p>
          <w:p w14:paraId="04B36E81" w14:textId="77777777" w:rsidR="00AD0AE3" w:rsidRPr="00DA42E7" w:rsidRDefault="00AD0AE3" w:rsidP="00AD0AE3">
            <w:pPr>
              <w:pStyle w:val="ListParagraph"/>
              <w:numPr>
                <w:ilvl w:val="0"/>
                <w:numId w:val="1"/>
              </w:numPr>
              <w:spacing w:before="0" w:after="0" w:line="240" w:lineRule="auto"/>
              <w:contextualSpacing/>
              <w:rPr>
                <w:szCs w:val="18"/>
              </w:rPr>
            </w:pPr>
            <w:r w:rsidRPr="00DA42E7">
              <w:rPr>
                <w:szCs w:val="18"/>
              </w:rPr>
              <w:t>Airborne Imagery</w:t>
            </w:r>
          </w:p>
          <w:p w14:paraId="72A2F831" w14:textId="77777777" w:rsidR="00AD0AE3" w:rsidRPr="00DA42E7" w:rsidRDefault="00AD0AE3" w:rsidP="00AD0AE3">
            <w:pPr>
              <w:pStyle w:val="ListParagraph"/>
              <w:numPr>
                <w:ilvl w:val="0"/>
                <w:numId w:val="1"/>
              </w:numPr>
              <w:spacing w:before="0" w:after="0" w:line="240" w:lineRule="auto"/>
              <w:contextualSpacing/>
              <w:rPr>
                <w:szCs w:val="18"/>
              </w:rPr>
            </w:pPr>
            <w:r w:rsidRPr="00DA42E7">
              <w:rPr>
                <w:szCs w:val="18"/>
              </w:rPr>
              <w:t>Satellite</w:t>
            </w:r>
          </w:p>
          <w:p w14:paraId="71186BE1" w14:textId="77777777" w:rsidR="00AD0AE3" w:rsidRPr="00DA42E7" w:rsidRDefault="00AD0AE3" w:rsidP="00AD0AE3">
            <w:pPr>
              <w:pStyle w:val="ListParagraph"/>
              <w:numPr>
                <w:ilvl w:val="0"/>
                <w:numId w:val="1"/>
              </w:numPr>
              <w:spacing w:before="0" w:after="0" w:line="240" w:lineRule="auto"/>
              <w:contextualSpacing/>
              <w:rPr>
                <w:szCs w:val="18"/>
              </w:rPr>
            </w:pPr>
            <w:r w:rsidRPr="00DA42E7">
              <w:rPr>
                <w:szCs w:val="18"/>
              </w:rPr>
              <w:t>Side-Scan</w:t>
            </w:r>
          </w:p>
          <w:p w14:paraId="50EF8F26" w14:textId="77777777" w:rsidR="00AD0AE3" w:rsidRPr="00DA42E7" w:rsidRDefault="00AD0AE3" w:rsidP="00AD0AE3">
            <w:pPr>
              <w:pStyle w:val="ListParagraph"/>
              <w:numPr>
                <w:ilvl w:val="0"/>
                <w:numId w:val="1"/>
              </w:numPr>
              <w:spacing w:before="0" w:after="0" w:line="240" w:lineRule="auto"/>
              <w:contextualSpacing/>
              <w:rPr>
                <w:szCs w:val="18"/>
              </w:rPr>
            </w:pPr>
            <w:r w:rsidRPr="00DA42E7">
              <w:rPr>
                <w:szCs w:val="18"/>
              </w:rPr>
              <w:t>Sub-Bottom profiler</w:t>
            </w:r>
          </w:p>
        </w:tc>
        <w:tc>
          <w:tcPr>
            <w:tcW w:w="3119" w:type="dxa"/>
          </w:tcPr>
          <w:p w14:paraId="11537AC0" w14:textId="77777777" w:rsidR="00AD0AE3" w:rsidRPr="00DA42E7" w:rsidRDefault="00AD0AE3" w:rsidP="00EA17AD">
            <w:pPr>
              <w:rPr>
                <w:i/>
                <w:color w:val="auto"/>
                <w:szCs w:val="18"/>
              </w:rPr>
            </w:pPr>
            <w:r w:rsidRPr="00DA42E7">
              <w:rPr>
                <w:i/>
                <w:color w:val="auto"/>
                <w:szCs w:val="18"/>
              </w:rPr>
              <w:t>Multi-beam Sonar</w:t>
            </w:r>
          </w:p>
        </w:tc>
      </w:tr>
      <w:tr w:rsidR="00AD0AE3" w:rsidRPr="00DA42E7" w14:paraId="0A2F5C05" w14:textId="77777777" w:rsidTr="00AD0AE3">
        <w:trPr>
          <w:cnfStyle w:val="000000010000" w:firstRow="0" w:lastRow="0" w:firstColumn="0" w:lastColumn="0" w:oddVBand="0" w:evenVBand="0" w:oddHBand="0" w:evenHBand="1" w:firstRowFirstColumn="0" w:firstRowLastColumn="0" w:lastRowFirstColumn="0" w:lastRowLastColumn="0"/>
        </w:trPr>
        <w:tc>
          <w:tcPr>
            <w:tcW w:w="1129" w:type="dxa"/>
            <w:vMerge/>
          </w:tcPr>
          <w:p w14:paraId="64B04B1C" w14:textId="77777777" w:rsidR="00AD0AE3" w:rsidRPr="00DA42E7" w:rsidRDefault="00AD0AE3" w:rsidP="00EA17AD">
            <w:pPr>
              <w:rPr>
                <w:color w:val="auto"/>
                <w:szCs w:val="18"/>
              </w:rPr>
            </w:pPr>
          </w:p>
        </w:tc>
        <w:tc>
          <w:tcPr>
            <w:tcW w:w="1418" w:type="dxa"/>
            <w:vMerge/>
          </w:tcPr>
          <w:p w14:paraId="5A3E5247" w14:textId="77777777" w:rsidR="00AD0AE3" w:rsidRPr="00DA42E7" w:rsidRDefault="00AD0AE3" w:rsidP="00EA17AD">
            <w:pPr>
              <w:rPr>
                <w:color w:val="auto"/>
                <w:szCs w:val="18"/>
              </w:rPr>
            </w:pPr>
          </w:p>
        </w:tc>
        <w:tc>
          <w:tcPr>
            <w:tcW w:w="1134" w:type="dxa"/>
          </w:tcPr>
          <w:p w14:paraId="23E75738" w14:textId="77777777" w:rsidR="00AD0AE3" w:rsidRPr="00DA42E7" w:rsidRDefault="00AD0AE3" w:rsidP="00EA17AD">
            <w:pPr>
              <w:rPr>
                <w:color w:val="auto"/>
                <w:szCs w:val="18"/>
              </w:rPr>
            </w:pPr>
            <w:r w:rsidRPr="00DA42E7">
              <w:rPr>
                <w:color w:val="auto"/>
                <w:szCs w:val="18"/>
              </w:rPr>
              <w:t>Sensor type</w:t>
            </w:r>
          </w:p>
        </w:tc>
        <w:tc>
          <w:tcPr>
            <w:tcW w:w="2693" w:type="dxa"/>
          </w:tcPr>
          <w:p w14:paraId="7D09C89F" w14:textId="77777777" w:rsidR="00AD0AE3" w:rsidRPr="00DA42E7" w:rsidRDefault="00AD0AE3" w:rsidP="00EA17AD">
            <w:pPr>
              <w:rPr>
                <w:color w:val="auto"/>
                <w:szCs w:val="18"/>
              </w:rPr>
            </w:pPr>
            <w:r w:rsidRPr="00DA42E7">
              <w:rPr>
                <w:color w:val="auto"/>
                <w:szCs w:val="18"/>
              </w:rPr>
              <w:t xml:space="preserve">The type of sensor used to collect the data being provided. </w:t>
            </w:r>
          </w:p>
        </w:tc>
        <w:tc>
          <w:tcPr>
            <w:tcW w:w="3119" w:type="dxa"/>
          </w:tcPr>
          <w:p w14:paraId="7B626E53" w14:textId="77777777" w:rsidR="00AD0AE3" w:rsidRPr="00DA42E7" w:rsidRDefault="00AD0AE3" w:rsidP="00EA17AD">
            <w:pPr>
              <w:rPr>
                <w:i/>
                <w:color w:val="auto"/>
                <w:szCs w:val="18"/>
              </w:rPr>
            </w:pPr>
            <w:r w:rsidRPr="00DA42E7">
              <w:rPr>
                <w:i/>
                <w:color w:val="auto"/>
                <w:szCs w:val="18"/>
              </w:rPr>
              <w:t>EM2040</w:t>
            </w:r>
          </w:p>
        </w:tc>
      </w:tr>
      <w:tr w:rsidR="00AD0AE3" w:rsidRPr="00DA42E7" w14:paraId="4E1BA4CC" w14:textId="77777777" w:rsidTr="00AD0AE3">
        <w:trPr>
          <w:cnfStyle w:val="000000100000" w:firstRow="0" w:lastRow="0" w:firstColumn="0" w:lastColumn="0" w:oddVBand="0" w:evenVBand="0" w:oddHBand="1" w:evenHBand="0" w:firstRowFirstColumn="0" w:firstRowLastColumn="0" w:lastRowFirstColumn="0" w:lastRowLastColumn="0"/>
        </w:trPr>
        <w:tc>
          <w:tcPr>
            <w:tcW w:w="1129" w:type="dxa"/>
            <w:vMerge/>
          </w:tcPr>
          <w:p w14:paraId="55E9D4A7" w14:textId="77777777" w:rsidR="00AD0AE3" w:rsidRPr="00DA42E7" w:rsidRDefault="00AD0AE3" w:rsidP="00EA17AD">
            <w:pPr>
              <w:rPr>
                <w:color w:val="auto"/>
                <w:szCs w:val="18"/>
              </w:rPr>
            </w:pPr>
          </w:p>
        </w:tc>
        <w:tc>
          <w:tcPr>
            <w:tcW w:w="1418" w:type="dxa"/>
            <w:vMerge/>
          </w:tcPr>
          <w:p w14:paraId="068FE449" w14:textId="77777777" w:rsidR="00AD0AE3" w:rsidRPr="00DA42E7" w:rsidRDefault="00AD0AE3" w:rsidP="00EA17AD">
            <w:pPr>
              <w:rPr>
                <w:color w:val="auto"/>
                <w:szCs w:val="18"/>
              </w:rPr>
            </w:pPr>
          </w:p>
        </w:tc>
        <w:tc>
          <w:tcPr>
            <w:tcW w:w="1134" w:type="dxa"/>
          </w:tcPr>
          <w:p w14:paraId="59358149" w14:textId="77777777" w:rsidR="00AD0AE3" w:rsidRPr="00DA42E7" w:rsidRDefault="00AD0AE3" w:rsidP="00EA17AD">
            <w:pPr>
              <w:rPr>
                <w:color w:val="auto"/>
                <w:szCs w:val="18"/>
              </w:rPr>
            </w:pPr>
            <w:r w:rsidRPr="00DA42E7">
              <w:rPr>
                <w:color w:val="auto"/>
                <w:szCs w:val="18"/>
              </w:rPr>
              <w:t>Sensor Frequency</w:t>
            </w:r>
          </w:p>
        </w:tc>
        <w:tc>
          <w:tcPr>
            <w:tcW w:w="2693" w:type="dxa"/>
          </w:tcPr>
          <w:p w14:paraId="74ADB345" w14:textId="77777777" w:rsidR="00AD0AE3" w:rsidRPr="00DA42E7" w:rsidRDefault="00AD0AE3" w:rsidP="00EA17AD">
            <w:pPr>
              <w:rPr>
                <w:color w:val="auto"/>
                <w:szCs w:val="18"/>
              </w:rPr>
            </w:pPr>
            <w:r w:rsidRPr="00DA42E7">
              <w:rPr>
                <w:color w:val="auto"/>
                <w:szCs w:val="18"/>
              </w:rPr>
              <w:t xml:space="preserve">Frequency at which the survey was conducted. This may be provided as multiple values based on the sensor’s capabilities. </w:t>
            </w:r>
          </w:p>
        </w:tc>
        <w:tc>
          <w:tcPr>
            <w:tcW w:w="3119" w:type="dxa"/>
          </w:tcPr>
          <w:p w14:paraId="46C35188" w14:textId="77777777" w:rsidR="00AD0AE3" w:rsidRPr="00DA42E7" w:rsidRDefault="00AD0AE3" w:rsidP="00EA17AD">
            <w:pPr>
              <w:rPr>
                <w:i/>
                <w:color w:val="auto"/>
                <w:szCs w:val="18"/>
              </w:rPr>
            </w:pPr>
            <w:r w:rsidRPr="00DA42E7">
              <w:rPr>
                <w:i/>
                <w:color w:val="auto"/>
                <w:szCs w:val="18"/>
              </w:rPr>
              <w:t>200-400kHz</w:t>
            </w:r>
          </w:p>
        </w:tc>
      </w:tr>
      <w:tr w:rsidR="00AD0AE3" w:rsidRPr="00DA42E7" w14:paraId="443A2DAE" w14:textId="77777777" w:rsidTr="00AD0AE3">
        <w:trPr>
          <w:cnfStyle w:val="000000010000" w:firstRow="0" w:lastRow="0" w:firstColumn="0" w:lastColumn="0" w:oddVBand="0" w:evenVBand="0" w:oddHBand="0" w:evenHBand="1" w:firstRowFirstColumn="0" w:firstRowLastColumn="0" w:lastRowFirstColumn="0" w:lastRowLastColumn="0"/>
        </w:trPr>
        <w:tc>
          <w:tcPr>
            <w:tcW w:w="1129" w:type="dxa"/>
            <w:vMerge/>
          </w:tcPr>
          <w:p w14:paraId="158E1083" w14:textId="77777777" w:rsidR="00AD0AE3" w:rsidRPr="00DA42E7" w:rsidRDefault="00AD0AE3" w:rsidP="00EA17AD">
            <w:pPr>
              <w:rPr>
                <w:color w:val="auto"/>
                <w:szCs w:val="18"/>
              </w:rPr>
            </w:pPr>
          </w:p>
        </w:tc>
        <w:tc>
          <w:tcPr>
            <w:tcW w:w="1418" w:type="dxa"/>
            <w:vMerge/>
          </w:tcPr>
          <w:p w14:paraId="061C225F" w14:textId="77777777" w:rsidR="00AD0AE3" w:rsidRPr="00DA42E7" w:rsidRDefault="00AD0AE3" w:rsidP="00EA17AD">
            <w:pPr>
              <w:rPr>
                <w:color w:val="auto"/>
                <w:szCs w:val="18"/>
              </w:rPr>
            </w:pPr>
          </w:p>
        </w:tc>
        <w:tc>
          <w:tcPr>
            <w:tcW w:w="1134" w:type="dxa"/>
          </w:tcPr>
          <w:p w14:paraId="005F5382" w14:textId="77777777" w:rsidR="00AD0AE3" w:rsidRPr="00DA42E7" w:rsidRDefault="00AD0AE3" w:rsidP="00EA17AD">
            <w:pPr>
              <w:rPr>
                <w:color w:val="auto"/>
                <w:szCs w:val="18"/>
              </w:rPr>
            </w:pPr>
            <w:r w:rsidRPr="00DA42E7">
              <w:rPr>
                <w:color w:val="auto"/>
                <w:szCs w:val="18"/>
              </w:rPr>
              <w:t>Platform type</w:t>
            </w:r>
          </w:p>
        </w:tc>
        <w:tc>
          <w:tcPr>
            <w:tcW w:w="2693" w:type="dxa"/>
          </w:tcPr>
          <w:p w14:paraId="64135028" w14:textId="77777777" w:rsidR="00AD0AE3" w:rsidRPr="00DA42E7" w:rsidRDefault="00AD0AE3" w:rsidP="00EA17AD">
            <w:pPr>
              <w:rPr>
                <w:color w:val="auto"/>
                <w:szCs w:val="18"/>
              </w:rPr>
            </w:pPr>
            <w:r w:rsidRPr="00DA42E7">
              <w:rPr>
                <w:color w:val="auto"/>
                <w:szCs w:val="18"/>
              </w:rPr>
              <w:t xml:space="preserve">The platform hosting the instruments and sensors used to collect the data. </w:t>
            </w:r>
          </w:p>
        </w:tc>
        <w:tc>
          <w:tcPr>
            <w:tcW w:w="3119" w:type="dxa"/>
          </w:tcPr>
          <w:p w14:paraId="53F6F5A2" w14:textId="77777777" w:rsidR="00AD0AE3" w:rsidRPr="00DA42E7" w:rsidRDefault="00AD0AE3" w:rsidP="00EA17AD">
            <w:pPr>
              <w:rPr>
                <w:i/>
                <w:color w:val="auto"/>
                <w:szCs w:val="18"/>
              </w:rPr>
            </w:pPr>
            <w:r w:rsidRPr="00DA42E7">
              <w:rPr>
                <w:i/>
                <w:color w:val="auto"/>
                <w:szCs w:val="18"/>
              </w:rPr>
              <w:t>Ship, AUV</w:t>
            </w:r>
          </w:p>
        </w:tc>
      </w:tr>
      <w:tr w:rsidR="00AD0AE3" w:rsidRPr="00DA42E7" w14:paraId="0ACD3B40" w14:textId="77777777" w:rsidTr="00AD0AE3">
        <w:trPr>
          <w:cnfStyle w:val="000000100000" w:firstRow="0" w:lastRow="0" w:firstColumn="0" w:lastColumn="0" w:oddVBand="0" w:evenVBand="0" w:oddHBand="1" w:evenHBand="0" w:firstRowFirstColumn="0" w:firstRowLastColumn="0" w:lastRowFirstColumn="0" w:lastRowLastColumn="0"/>
        </w:trPr>
        <w:tc>
          <w:tcPr>
            <w:tcW w:w="1129" w:type="dxa"/>
            <w:vMerge/>
          </w:tcPr>
          <w:p w14:paraId="06F74049" w14:textId="77777777" w:rsidR="00AD0AE3" w:rsidRPr="00DA42E7" w:rsidRDefault="00AD0AE3" w:rsidP="00EA17AD">
            <w:pPr>
              <w:rPr>
                <w:color w:val="auto"/>
                <w:szCs w:val="18"/>
              </w:rPr>
            </w:pPr>
          </w:p>
        </w:tc>
        <w:tc>
          <w:tcPr>
            <w:tcW w:w="1418" w:type="dxa"/>
            <w:vMerge/>
          </w:tcPr>
          <w:p w14:paraId="5669DC5A" w14:textId="77777777" w:rsidR="00AD0AE3" w:rsidRPr="00DA42E7" w:rsidRDefault="00AD0AE3" w:rsidP="00EA17AD">
            <w:pPr>
              <w:rPr>
                <w:color w:val="auto"/>
                <w:szCs w:val="18"/>
              </w:rPr>
            </w:pPr>
          </w:p>
        </w:tc>
        <w:tc>
          <w:tcPr>
            <w:tcW w:w="1134" w:type="dxa"/>
          </w:tcPr>
          <w:p w14:paraId="36374C80" w14:textId="77777777" w:rsidR="00AD0AE3" w:rsidRPr="00DA42E7" w:rsidRDefault="00AD0AE3" w:rsidP="00EA17AD">
            <w:pPr>
              <w:rPr>
                <w:color w:val="auto"/>
                <w:szCs w:val="18"/>
              </w:rPr>
            </w:pPr>
            <w:r w:rsidRPr="00DA42E7">
              <w:rPr>
                <w:color w:val="auto"/>
                <w:szCs w:val="18"/>
              </w:rPr>
              <w:t>Platform Name</w:t>
            </w:r>
          </w:p>
        </w:tc>
        <w:tc>
          <w:tcPr>
            <w:tcW w:w="2693" w:type="dxa"/>
          </w:tcPr>
          <w:p w14:paraId="027EA23F" w14:textId="77777777" w:rsidR="00AD0AE3" w:rsidRPr="00DA42E7" w:rsidRDefault="00AD0AE3" w:rsidP="00EA17AD">
            <w:pPr>
              <w:rPr>
                <w:color w:val="auto"/>
                <w:szCs w:val="18"/>
              </w:rPr>
            </w:pPr>
            <w:r w:rsidRPr="00DA42E7">
              <w:rPr>
                <w:color w:val="auto"/>
                <w:szCs w:val="18"/>
              </w:rPr>
              <w:t>The name of the platform used to collect submitted data</w:t>
            </w:r>
          </w:p>
        </w:tc>
        <w:tc>
          <w:tcPr>
            <w:tcW w:w="3119" w:type="dxa"/>
          </w:tcPr>
          <w:p w14:paraId="4F22F2E6" w14:textId="77777777" w:rsidR="00AD0AE3" w:rsidRPr="00DA42E7" w:rsidRDefault="00AD0AE3" w:rsidP="00EA17AD">
            <w:pPr>
              <w:rPr>
                <w:i/>
                <w:color w:val="auto"/>
                <w:szCs w:val="18"/>
              </w:rPr>
            </w:pPr>
            <w:r w:rsidRPr="00DA42E7">
              <w:rPr>
                <w:i/>
                <w:color w:val="auto"/>
                <w:szCs w:val="18"/>
              </w:rPr>
              <w:t>RV Investigator</w:t>
            </w:r>
          </w:p>
        </w:tc>
      </w:tr>
    </w:tbl>
    <w:p w14:paraId="7E66BA9F" w14:textId="77777777" w:rsidR="003F3CCB" w:rsidRDefault="00051A50"/>
    <w:sectPr w:rsidR="003F3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76907"/>
    <w:multiLevelType w:val="hybridMultilevel"/>
    <w:tmpl w:val="53FA2634"/>
    <w:lvl w:ilvl="0" w:tplc="E1A033D8">
      <w:start w:val="20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AE3"/>
    <w:rsid w:val="00051A50"/>
    <w:rsid w:val="001A6CF6"/>
    <w:rsid w:val="00AD0AE3"/>
    <w:rsid w:val="00C87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E324"/>
  <w15:chartTrackingRefBased/>
  <w15:docId w15:val="{B5A2A80A-717B-4222-B96C-E5086BDC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DO NOT USE"/>
    <w:next w:val="BodyText"/>
    <w:qFormat/>
    <w:rsid w:val="00AD0AE3"/>
    <w:pPr>
      <w:spacing w:before="180" w:after="180" w:line="280" w:lineRule="atLeast"/>
    </w:pPr>
    <w:rPr>
      <w:rFonts w:ascii="Arial" w:eastAsia="Times" w:hAnsi="Arial" w:cs="Arial"/>
      <w:color w:val="FF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AD0AE3"/>
    <w:rPr>
      <w:color w:val="0000FF"/>
    </w:rPr>
  </w:style>
  <w:style w:type="table" w:customStyle="1" w:styleId="TableGAHeaderRow">
    <w:name w:val="Table GA Header Row"/>
    <w:basedOn w:val="TableNormal"/>
    <w:rsid w:val="00AD0AE3"/>
    <w:pPr>
      <w:spacing w:before="20" w:after="20" w:line="200" w:lineRule="atLeast"/>
    </w:pPr>
    <w:rPr>
      <w:rFonts w:ascii="Arial" w:eastAsia="Times" w:hAnsi="Arial" w:cs="Times New Roman"/>
      <w:sz w:val="18"/>
      <w:szCs w:val="20"/>
      <w:lang w:eastAsia="en-AU"/>
    </w:rPr>
    <w:tblPr>
      <w:tblStyleRowBandSize w:val="1"/>
      <w:tblStyleColBandSize w:val="1"/>
      <w:tblInd w:w="57" w:type="dxa"/>
      <w:tblCellMar>
        <w:top w:w="57" w:type="dxa"/>
        <w:left w:w="57" w:type="dxa"/>
        <w:bottom w:w="28" w:type="dxa"/>
        <w:right w:w="57" w:type="dxa"/>
      </w:tblCellMar>
    </w:tblPr>
    <w:trPr>
      <w:cantSplit/>
    </w:trPr>
    <w:tcPr>
      <w:shd w:val="clear" w:color="auto" w:fill="FFFFFF" w:themeFill="background1"/>
    </w:tcPr>
    <w:tblStylePr w:type="firstRow">
      <w:pPr>
        <w:keepNext/>
        <w:wordWrap/>
        <w:spacing w:beforeLines="0" w:before="0" w:beforeAutospacing="0" w:afterLines="0" w:after="0" w:afterAutospacing="0" w:line="120" w:lineRule="atLeast"/>
        <w:jc w:val="left"/>
      </w:pPr>
      <w:rPr>
        <w:rFonts w:ascii="Arial" w:hAnsi="Arial"/>
        <w:b/>
        <w:color w:val="FFFFFF"/>
        <w:sz w:val="18"/>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006983"/>
      </w:tcPr>
    </w:tblStylePr>
    <w:tblStylePr w:type="band1Vert">
      <w:pPr>
        <w:wordWrap/>
        <w:jc w:val="left"/>
      </w:pPr>
    </w:tblStylePr>
    <w:tblStylePr w:type="band1Horz">
      <w:pPr>
        <w:wordWrap/>
        <w:spacing w:beforeLines="0" w:before="0" w:beforeAutospacing="0" w:afterLines="0" w:after="0" w:afterAutospacing="0" w:line="120" w:lineRule="atLeast"/>
        <w:jc w:val="left"/>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9E9EC"/>
      </w:tcPr>
    </w:tblStylePr>
    <w:tblStylePr w:type="band2Horz">
      <w:pPr>
        <w:wordWrap/>
        <w:spacing w:beforeLines="0" w:before="0" w:beforeAutospacing="0" w:afterLines="0" w:after="0" w:afterAutospacing="0" w:line="120" w:lineRule="atLeast"/>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F2F8F9"/>
      </w:tcPr>
    </w:tblStylePr>
  </w:style>
  <w:style w:type="paragraph" w:styleId="ListParagraph">
    <w:name w:val="List Paragraph"/>
    <w:aliases w:val="LP-DO NOT USE"/>
    <w:basedOn w:val="MacroText"/>
    <w:uiPriority w:val="34"/>
    <w:qFormat/>
    <w:rsid w:val="00AD0AE3"/>
    <w:pPr>
      <w:tabs>
        <w:tab w:val="clear" w:pos="480"/>
        <w:tab w:val="clear" w:pos="960"/>
        <w:tab w:val="clear" w:pos="1440"/>
        <w:tab w:val="clear" w:pos="1920"/>
        <w:tab w:val="clear" w:pos="2400"/>
        <w:tab w:val="clear" w:pos="2880"/>
        <w:tab w:val="clear" w:pos="3360"/>
        <w:tab w:val="clear" w:pos="3840"/>
        <w:tab w:val="clear" w:pos="4320"/>
      </w:tabs>
      <w:spacing w:after="180"/>
    </w:pPr>
    <w:rPr>
      <w:rFonts w:ascii="Arial" w:hAnsi="Arial"/>
      <w:color w:val="auto"/>
    </w:rPr>
  </w:style>
  <w:style w:type="paragraph" w:styleId="BodyText">
    <w:name w:val="Body Text"/>
    <w:basedOn w:val="Normal"/>
    <w:link w:val="BodyTextChar"/>
    <w:uiPriority w:val="99"/>
    <w:semiHidden/>
    <w:unhideWhenUsed/>
    <w:rsid w:val="00AD0AE3"/>
    <w:pPr>
      <w:spacing w:after="120"/>
    </w:pPr>
  </w:style>
  <w:style w:type="character" w:customStyle="1" w:styleId="BodyTextChar">
    <w:name w:val="Body Text Char"/>
    <w:basedOn w:val="DefaultParagraphFont"/>
    <w:link w:val="BodyText"/>
    <w:uiPriority w:val="99"/>
    <w:semiHidden/>
    <w:rsid w:val="00AD0AE3"/>
    <w:rPr>
      <w:rFonts w:ascii="Arial" w:eastAsia="Times" w:hAnsi="Arial" w:cs="Arial"/>
      <w:color w:val="FF0000"/>
      <w:sz w:val="20"/>
      <w:szCs w:val="20"/>
      <w:lang w:eastAsia="en-AU"/>
    </w:rPr>
  </w:style>
  <w:style w:type="paragraph" w:styleId="MacroText">
    <w:name w:val="macro"/>
    <w:link w:val="MacroTextChar"/>
    <w:uiPriority w:val="99"/>
    <w:semiHidden/>
    <w:unhideWhenUsed/>
    <w:rsid w:val="00AD0AE3"/>
    <w:pPr>
      <w:tabs>
        <w:tab w:val="left" w:pos="480"/>
        <w:tab w:val="left" w:pos="960"/>
        <w:tab w:val="left" w:pos="1440"/>
        <w:tab w:val="left" w:pos="1920"/>
        <w:tab w:val="left" w:pos="2400"/>
        <w:tab w:val="left" w:pos="2880"/>
        <w:tab w:val="left" w:pos="3360"/>
        <w:tab w:val="left" w:pos="3840"/>
        <w:tab w:val="left" w:pos="4320"/>
      </w:tabs>
      <w:spacing w:before="180" w:after="0" w:line="280" w:lineRule="atLeast"/>
    </w:pPr>
    <w:rPr>
      <w:rFonts w:ascii="Consolas" w:eastAsia="Times" w:hAnsi="Consolas" w:cs="Arial"/>
      <w:color w:val="FF0000"/>
      <w:sz w:val="20"/>
      <w:szCs w:val="20"/>
      <w:lang w:eastAsia="en-AU"/>
    </w:rPr>
  </w:style>
  <w:style w:type="character" w:customStyle="1" w:styleId="MacroTextChar">
    <w:name w:val="Macro Text Char"/>
    <w:basedOn w:val="DefaultParagraphFont"/>
    <w:link w:val="MacroText"/>
    <w:uiPriority w:val="99"/>
    <w:semiHidden/>
    <w:rsid w:val="00AD0AE3"/>
    <w:rPr>
      <w:rFonts w:ascii="Consolas" w:eastAsia="Times" w:hAnsi="Consolas" w:cs="Arial"/>
      <w:color w:val="FF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d.geoscience.gov.au/dataset/10031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pid.geoscience.gov.au/dataset/ga/100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3C196BF9FAC4F9A475DB12141B904" ma:contentTypeVersion="12" ma:contentTypeDescription="Create a new document." ma:contentTypeScope="" ma:versionID="e3ab15f14f7b6fc51fad3d24fc55a807">
  <xsd:schema xmlns:xsd="http://www.w3.org/2001/XMLSchema" xmlns:xs="http://www.w3.org/2001/XMLSchema" xmlns:p="http://schemas.microsoft.com/office/2006/metadata/properties" xmlns:ns3="6935cee7-1612-4665-8f9f-88bcb575a39f" xmlns:ns4="17bc5f2d-8de2-46c1-9cee-80aad0b88094" targetNamespace="http://schemas.microsoft.com/office/2006/metadata/properties" ma:root="true" ma:fieldsID="c4737e8f35d82fae29c717092b251673" ns3:_="" ns4:_="">
    <xsd:import namespace="6935cee7-1612-4665-8f9f-88bcb575a39f"/>
    <xsd:import namespace="17bc5f2d-8de2-46c1-9cee-80aad0b880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5cee7-1612-4665-8f9f-88bcb575a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bc5f2d-8de2-46c1-9cee-80aad0b880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3D120B-1D11-474F-8268-0E3837078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5cee7-1612-4665-8f9f-88bcb575a39f"/>
    <ds:schemaRef ds:uri="17bc5f2d-8de2-46c1-9cee-80aad0b88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44A23-C3F3-4388-9923-F326762E9B4E}">
  <ds:schemaRefs>
    <ds:schemaRef ds:uri="http://schemas.microsoft.com/sharepoint/v3/contenttype/forms"/>
  </ds:schemaRefs>
</ds:datastoreItem>
</file>

<file path=customXml/itemProps3.xml><?xml version="1.0" encoding="utf-8"?>
<ds:datastoreItem xmlns:ds="http://schemas.openxmlformats.org/officeDocument/2006/customXml" ds:itemID="{7FD1C740-6AE5-4052-94EE-0F2D04C49B8C}">
  <ds:schemaRefs>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17bc5f2d-8de2-46c1-9cee-80aad0b88094"/>
    <ds:schemaRef ds:uri="6935cee7-1612-4665-8f9f-88bcb575a39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Geoscience Australia</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Hannah</dc:creator>
  <cp:keywords/>
  <dc:description/>
  <cp:lastModifiedBy>Evans Hannah</cp:lastModifiedBy>
  <cp:revision>2</cp:revision>
  <dcterms:created xsi:type="dcterms:W3CDTF">2020-07-08T01:11:00Z</dcterms:created>
  <dcterms:modified xsi:type="dcterms:W3CDTF">2020-07-08T01:15:00Z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0x010100C4B3C196BF9FAC4F9A475DB12141B904</vt:lpwstr>
  </property>
</Properties>
</file>